
<file path=[Content_Types].xml><?xml version="1.0" encoding="utf-8"?>
<Types xmlns="http://schemas.openxmlformats.org/package/2006/content-types">
  <Default ContentType="image/bmp" Extension="bmp"/>
  <Default ContentType="image/gif" Extension="gif"/>
  <Default ContentType="image/jpeg" Extension="jfif"/>
  <Default ContentType="image/jpeg" Extension="jpe"/>
  <Default ContentType="image/jpeg" Extension="jpeg"/>
  <Default ContentType="image/jpeg" Extension="jpg"/>
  <Default ContentType="image/png" Extension="png"/>
  <Default ContentType="application/vnd.openxmlformats-package.relationships+xml" Extension="rels"/>
  <Default ContentType="image/tiff" Extension="tif"/>
  <Default ContentType="image/tiff" Extension="tiff"/>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p w:rsidR="00F65EB4" w:rsidRDefault="00E32B6D"/>
    <w:tbl>
      <w:tblPr>
        <w:tblStyle w:val="TableGrid"/>
        <w:tblW w:type="pct" w:w="5003"/>
        <w:jc w:val="center"/>
        <w:tblInd w:type="dxa" w:w="0"/>
        <w:tblCellMar>
          <w:top w:type="dxa" w:w="13"/>
          <w:right w:type="dxa" w:w="7"/>
        </w:tblCellMar>
        <w:tblLook w:firstColumn="1" w:firstRow="1" w:lastColumn="0" w:lastRow="0" w:noHBand="0" w:noVBand="1" w:val="04A0"/>
      </w:tblPr>
      <w:tblGrid>
        <w:gridCol w:w="2091"/>
        <w:gridCol w:w="770"/>
        <w:gridCol w:w="6216"/>
      </w:tblGrid>
      <w:tr w:rsidR="002B2CF2" w:rsidRPr="00014C3A" w:rsidTr="00251DEF">
        <w:trPr>
          <w:trHeight w:val="2035"/>
          <w:jc w:val="center"/>
        </w:trPr>
        <w:tc>
          <w:tcPr>
            <w:tcW w:type="pct" w:w="1152"/>
            <w:tcBorders>
              <w:top w:color="000000" w:space="0" w:sz="18" w:val="single"/>
              <w:left w:color="000000" w:space="0" w:sz="18" w:val="single"/>
              <w:bottom w:color="000000" w:space="0" w:sz="18" w:val="single"/>
              <w:right w:val="nil"/>
            </w:tcBorders>
          </w:tcPr>
          <w:p w:rsidP="00887EE8" w:rsidR="002B2CF2" w:rsidRDefault="002B2CF2" w:rsidRPr="00014C3A">
            <w:pPr>
              <w:spacing w:after="120" w:before="120"/>
              <w:ind w:left="113"/>
              <w:jc w:val="center"/>
              <w:rPr>
                <w:bCs/>
              </w:rPr>
            </w:pPr>
            <w:r w:rsidRPr="00014C3A">
              <w:rPr>
                <w:b/>
                <w:bCs/>
              </w:rPr>
              <w:t> </w:t>
            </w:r>
            <w:r w:rsidRPr="00014C3A">
              <w:rPr>
                <w:b/>
                <w:bCs/>
              </w:rPr>
              <w:br/>
            </w:r>
            <w:r w:rsidRPr="00014C3A">
              <w:rPr>
                <w:noProof/>
              </w:rPr>
              <w:drawing>
                <wp:inline distB="0" distL="0" distR="0" distT="0" wp14:anchorId="64E55A07" wp14:editId="4DBB9D8D">
                  <wp:extent cx="952500" cy="466725"/>
                  <wp:effectExtent b="9525" l="0" r="0" t="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466725"/>
                          </a:xfrm>
                          <a:prstGeom prst="rect">
                            <a:avLst/>
                          </a:prstGeom>
                          <a:noFill/>
                          <a:ln>
                            <a:noFill/>
                          </a:ln>
                        </pic:spPr>
                      </pic:pic>
                    </a:graphicData>
                  </a:graphic>
                </wp:inline>
              </w:drawing>
            </w:r>
            <w:r w:rsidRPr="00014C3A">
              <w:rPr>
                <w:b/>
                <w:bCs/>
              </w:rPr>
              <w:br/>
              <w:t>European Commission</w:t>
            </w:r>
            <w:r w:rsidRPr="00014C3A">
              <w:rPr>
                <w:b/>
                <w:bCs/>
              </w:rPr>
              <w:br/>
            </w:r>
            <w:r w:rsidR="00251DEF" w:rsidRPr="00251DEF">
              <w:rPr>
                <w:bCs/>
              </w:rPr>
              <w:t>European Climate, Infrastructure and Environment Executive Agency (CINEA)</w:t>
            </w:r>
          </w:p>
          <w:p w:rsidP="00887EE8" w:rsidR="002B2CF2" w:rsidRDefault="002B2CF2" w:rsidRPr="00014C3A">
            <w:pPr>
              <w:spacing w:after="120" w:before="120"/>
              <w:ind w:left="113"/>
              <w:jc w:val="center"/>
              <w:rPr>
                <w:bCs/>
              </w:rPr>
            </w:pPr>
          </w:p>
          <w:p w:rsidP="00887EE8" w:rsidR="002B2CF2" w:rsidRDefault="002B2CF2" w:rsidRPr="00014C3A">
            <w:pPr>
              <w:spacing w:after="120" w:before="120"/>
              <w:ind w:left="113"/>
              <w:jc w:val="center"/>
            </w:pPr>
            <w:r w:rsidRPr="00014C3A">
              <w:rPr>
                <w:b/>
              </w:rPr>
              <w:t>Connecting Europe Facility</w:t>
            </w:r>
          </w:p>
        </w:tc>
        <w:tc>
          <w:tcPr>
            <w:tcW w:type="pct" w:w="3845"/>
            <w:gridSpan w:val="2"/>
            <w:tcBorders>
              <w:top w:color="000000" w:space="0" w:sz="18" w:val="single"/>
              <w:left w:val="nil"/>
              <w:bottom w:color="000000" w:space="0" w:sz="18" w:val="single"/>
              <w:right w:color="000000" w:space="0" w:sz="18" w:val="single"/>
            </w:tcBorders>
            <w:shd w:color="auto" w:fill="99CCFF" w:val="clear"/>
            <w:vAlign w:val="center"/>
          </w:tcPr>
          <w:p w:rsidP="00796FA7" w:rsidR="002B2CF2" w:rsidRDefault="00C07328">
            <w:pPr>
              <w:spacing w:after="0" w:line="240" w:lineRule="auto"/>
              <w:jc w:val="center"/>
              <w:rPr>
                <w:rFonts w:ascii="Verdana" w:cs="Arial" w:eastAsia="Arial" w:hAnsi="Verdana"/>
                <w:b/>
                <w:sz w:val="36"/>
              </w:rPr>
            </w:pPr>
            <w:r>
              <w:rPr>
                <w:rFonts w:ascii="Verdana" w:cs="Arial" w:eastAsia="Arial" w:hAnsi="Verdana"/>
                <w:b/>
                <w:noProof/>
                <w:sz w:val="36"/>
                <w:szCs w:val="36"/>
              </w:rPr>
              <w:t>ASR-2023-2015-SK-TM-0200-W-Modernisation of railway line Žilina – Košice, section Liptovský Mikuláš – Poprad-Tatry (outside), stage 1 (Poprad-Lučivná)</w:t>
            </w:r>
          </w:p>
          <w:p w:rsidP="00F154EC" w:rsidR="002B2CF2" w:rsidRDefault="002B2CF2" w:rsidRPr="00F102E8">
            <w:pPr>
              <w:spacing w:after="120" w:before="120"/>
              <w:ind w:left="113"/>
              <w:jc w:val="center"/>
              <w:rPr>
                <w:rFonts w:ascii="Verdana" w:hAnsi="Verdana"/>
              </w:rPr>
            </w:pPr>
            <w:r w:rsidRPr="00F102E8">
              <w:rPr>
                <w:rFonts w:ascii="Verdana" w:cs="Arial" w:eastAsia="Arial" w:hAnsi="Verdana"/>
                <w:sz w:val="36"/>
              </w:rPr>
              <w:t xml:space="preserve">Reporting period: </w:t>
            </w:r>
            <w:r w:rsidR="00F154EC" w:rsidRPr="00F102E8">
              <w:rPr>
                <w:rFonts w:ascii="Verdana" w:cs="Arial" w:eastAsia="Arial" w:hAnsi="Verdana"/>
                <w:noProof/>
                <w:sz w:val="36"/>
              </w:rPr>
              <w:t>1 January 2022 - 31 December 2022</w:t>
            </w:r>
          </w:p>
        </w:tc>
      </w:tr>
      <w:tr w:rsidR="002B2CF2" w:rsidRPr="00187B31" w:rsidTr="00251DEF">
        <w:trPr>
          <w:trHeight w:val="534"/>
          <w:jc w:val="center"/>
        </w:trPr>
        <w:tc>
          <w:tcPr>
            <w:tcW w:type="pct" w:w="4997"/>
            <w:gridSpan w:val="3"/>
            <w:tcBorders>
              <w:top w:color="000000" w:space="0" w:sz="18" w:val="single"/>
              <w:left w:val="nil"/>
              <w:right w:val="nil"/>
            </w:tcBorders>
            <w:shd w:color="auto" w:fill="FFFFFF" w:val="clear"/>
          </w:tcPr>
          <w:p w:rsidP="00887EE8" w:rsidR="002B2CF2" w:rsidRDefault="002B2CF2" w:rsidRPr="00187B31">
            <w:pPr>
              <w:rPr>
                <w:rFonts w:ascii="Verdana" w:hAnsi="Verdana"/>
              </w:rPr>
            </w:pPr>
          </w:p>
        </w:tc>
      </w:tr>
      <w:tr w:rsidR="002B2CF2" w:rsidRPr="00187B31"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714"/>
          <w:jc w:val="center"/>
        </w:trPr>
        <w:tc>
          <w:tcPr>
            <w:tcW w:type="pct" w:w="5000"/>
            <w:gridSpan w:val="3"/>
            <w:shd w:color="auto" w:fill="99CCFF" w:val="clear"/>
            <w:vAlign w:val="center"/>
          </w:tcPr>
          <w:p w:rsidP="00887EE8" w:rsidR="002B2CF2" w:rsidRDefault="002B2CF2" w:rsidRPr="00187B31">
            <w:pPr>
              <w:spacing w:after="120" w:before="120"/>
              <w:ind w:left="113"/>
              <w:rPr>
                <w:rFonts w:ascii="Verdana" w:hAnsi="Verdana"/>
              </w:rPr>
            </w:pPr>
            <w:bookmarkStart w:id="0" w:name="_GoBack"/>
            <w:bookmarkEnd w:id="0"/>
            <w:r w:rsidRPr="00252ECC">
              <w:rPr>
                <w:rFonts w:ascii="Verdana" w:cs="Arial" w:eastAsia="Arial" w:hAnsi="Verdana"/>
                <w:b/>
                <w:sz w:val="32"/>
              </w:rPr>
              <w:t>1. INFORMATION ON THE ACTION</w:t>
            </w:r>
          </w:p>
        </w:tc>
      </w:tr>
      <w:tr w:rsidR="002B2CF2" w:rsidRPr="00187B31"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298"/>
          <w:jc w:val="center"/>
        </w:trPr>
        <w:tc>
          <w:tcPr>
            <w:tcW w:type="pct" w:w="1576"/>
            <w:gridSpan w:val="2"/>
            <w:shd w:color="auto" w:fill="FFFF99" w:val="clear"/>
          </w:tcPr>
          <w:p w:rsidP="00887EE8" w:rsidR="002B2CF2" w:rsidRDefault="002B2CF2" w:rsidRPr="00187B31">
            <w:pPr>
              <w:spacing w:after="120" w:before="120"/>
              <w:ind w:left="113"/>
              <w:rPr>
                <w:rFonts w:ascii="Verdana" w:hAnsi="Verdana"/>
              </w:rPr>
            </w:pPr>
            <w:r w:rsidRPr="00187B31">
              <w:rPr>
                <w:rFonts w:ascii="Verdana" w:cs="Arial" w:eastAsia="Arial" w:hAnsi="Verdana"/>
                <w:sz w:val="24"/>
              </w:rPr>
              <w:t>Grant Agreement Nº</w:t>
            </w:r>
          </w:p>
        </w:tc>
        <w:tc>
          <w:tcPr>
            <w:tcW w:type="pct" w:w="3424"/>
            <w:vAlign w:val="center"/>
          </w:tcPr>
          <w:p w:rsidP="00887EE8" w:rsidR="002B2CF2" w:rsidRDefault="00331949" w:rsidRPr="00331949">
            <w:pPr>
              <w:spacing w:after="120" w:before="120"/>
              <w:ind w:left="113"/>
              <w:rPr>
                <w:rFonts w:ascii="Verdana" w:cs="Arial" w:eastAsia="Arial" w:hAnsi="Verdana"/>
                <w:sz w:val="24"/>
              </w:rPr>
            </w:pPr>
            <w:r>
              <w:rPr>
                <w:rFonts w:ascii="Verdana" w:cs="Arial" w:eastAsia="Arial" w:hAnsi="Verdana"/>
                <w:noProof/>
                <w:sz w:val="24"/>
              </w:rPr>
              <w:t>INEA/CEF/TRAN/M2015/1138561</w:t>
            </w:r>
          </w:p>
        </w:tc>
      </w:tr>
      <w:tr w:rsidR="002B2CF2" w:rsidRPr="00552AD0"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598"/>
          <w:jc w:val="center"/>
        </w:trPr>
        <w:tc>
          <w:tcPr>
            <w:tcW w:type="pct" w:w="1576"/>
            <w:gridSpan w:val="2"/>
            <w:shd w:color="auto" w:fill="FFFF99" w:val="clear"/>
            <w:vAlign w:val="center"/>
          </w:tcPr>
          <w:p w:rsidP="00887EE8" w:rsidR="002B2CF2" w:rsidRDefault="002B2CF2" w:rsidRPr="00187B31">
            <w:pPr>
              <w:spacing w:after="120" w:before="120"/>
              <w:ind w:left="113"/>
              <w:rPr>
                <w:rFonts w:ascii="Verdana" w:cs="Arial" w:eastAsia="Arial" w:hAnsi="Verdana"/>
                <w:sz w:val="24"/>
              </w:rPr>
            </w:pPr>
            <w:r w:rsidRPr="00187B31">
              <w:rPr>
                <w:rFonts w:ascii="Verdana" w:cs="Arial" w:eastAsia="Arial" w:hAnsi="Verdana"/>
                <w:sz w:val="24"/>
              </w:rPr>
              <w:t xml:space="preserve">Action </w:t>
            </w:r>
            <w:r>
              <w:rPr>
                <w:rFonts w:ascii="Verdana" w:cs="Arial" w:eastAsia="Arial" w:hAnsi="Verdana"/>
                <w:sz w:val="24"/>
              </w:rPr>
              <w:t>number</w:t>
            </w:r>
          </w:p>
        </w:tc>
        <w:tc>
          <w:tcPr>
            <w:tcW w:type="pct" w:w="3424"/>
            <w:vAlign w:val="center"/>
          </w:tcPr>
          <w:p w:rsidP="00887EE8" w:rsidR="002B2CF2" w:rsidRDefault="00331949" w:rsidRPr="008F6F32">
            <w:pPr>
              <w:spacing w:after="120" w:before="120"/>
              <w:ind w:left="113"/>
              <w:rPr>
                <w:rFonts w:ascii="Verdana" w:cs="Arial" w:eastAsia="Arial" w:hAnsi="Verdana"/>
                <w:sz w:val="24"/>
              </w:rPr>
            </w:pPr>
            <w:r>
              <w:rPr>
                <w:rFonts w:ascii="Verdana" w:cs="Arial" w:eastAsia="Arial" w:hAnsi="Verdana"/>
                <w:noProof/>
                <w:sz w:val="24"/>
              </w:rPr>
              <w:t>2015-SK-TM-0200-W</w:t>
            </w:r>
          </w:p>
        </w:tc>
      </w:tr>
      <w:tr w:rsidR="002B2CF2" w:rsidRPr="00552AD0"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677"/>
          <w:jc w:val="center"/>
        </w:trPr>
        <w:tc>
          <w:tcPr>
            <w:tcW w:type="pct" w:w="1576"/>
            <w:gridSpan w:val="2"/>
            <w:shd w:color="auto" w:fill="FFFF99" w:val="clear"/>
            <w:vAlign w:val="center"/>
          </w:tcPr>
          <w:p w:rsidP="00887EE8" w:rsidR="002B2CF2" w:rsidRDefault="002B2CF2" w:rsidRPr="008F6F32">
            <w:pPr>
              <w:spacing w:after="120" w:before="120"/>
              <w:ind w:left="113"/>
              <w:rPr>
                <w:rFonts w:ascii="Verdana" w:cs="Arial" w:eastAsia="Arial" w:hAnsi="Verdana"/>
                <w:sz w:val="24"/>
              </w:rPr>
            </w:pPr>
            <w:r w:rsidRPr="00187B31">
              <w:rPr>
                <w:rFonts w:ascii="Verdana" w:cs="Arial" w:eastAsia="Arial" w:hAnsi="Verdana"/>
                <w:sz w:val="24"/>
              </w:rPr>
              <w:t xml:space="preserve">Action </w:t>
            </w:r>
            <w:r>
              <w:rPr>
                <w:rFonts w:ascii="Verdana" w:cs="Arial" w:eastAsia="Arial" w:hAnsi="Verdana"/>
                <w:sz w:val="24"/>
              </w:rPr>
              <w:t>t</w:t>
            </w:r>
            <w:r w:rsidRPr="00187B31">
              <w:rPr>
                <w:rFonts w:ascii="Verdana" w:cs="Arial" w:eastAsia="Arial" w:hAnsi="Verdana"/>
                <w:sz w:val="24"/>
              </w:rPr>
              <w:t>itle</w:t>
            </w:r>
          </w:p>
        </w:tc>
        <w:tc>
          <w:tcPr>
            <w:tcW w:type="pct" w:w="3424"/>
            <w:vAlign w:val="center"/>
          </w:tcPr>
          <w:p w:rsidP="00887EE8" w:rsidR="002B2CF2" w:rsidRDefault="00331949" w:rsidRPr="008F6F32">
            <w:pPr>
              <w:spacing w:after="120" w:before="120"/>
              <w:ind w:left="113"/>
              <w:rPr>
                <w:rFonts w:ascii="Verdana" w:cs="Arial" w:eastAsia="Arial" w:hAnsi="Verdana"/>
                <w:sz w:val="24"/>
              </w:rPr>
            </w:pPr>
            <w:r>
              <w:rPr>
                <w:rFonts w:ascii="Verdana" w:cs="Arial" w:eastAsia="Arial" w:hAnsi="Verdana"/>
                <w:noProof/>
                <w:sz w:val="24"/>
              </w:rPr>
              <w:t>Modernisation of railway line Žilina – Košice, section Liptovský Mikuláš – Poprad-Tatry (outside), stage 1 (Poprad-Lučivná)</w:t>
            </w:r>
          </w:p>
        </w:tc>
      </w:tr>
      <w:tr w:rsidR="002B2CF2" w:rsidRPr="00552AD0" w:rsidTr="00251DEF">
        <w:tblPrEx>
          <w:tblBorders>
            <w:top w:color="000000" w:space="0" w:sz="18" w:val="single"/>
            <w:left w:color="000000" w:space="0" w:sz="18" w:val="single"/>
            <w:bottom w:color="000000" w:space="0" w:sz="18" w:val="single"/>
            <w:right w:color="000000" w:space="0" w:sz="18" w:val="single"/>
            <w:insideH w:color="000000" w:space="0" w:sz="6" w:val="single"/>
            <w:insideV w:color="000000" w:space="0" w:sz="6" w:val="single"/>
          </w:tblBorders>
        </w:tblPrEx>
        <w:trPr>
          <w:trHeight w:val="298"/>
          <w:jc w:val="center"/>
        </w:trPr>
        <w:tc>
          <w:tcPr>
            <w:tcW w:type="pct" w:w="1576"/>
            <w:gridSpan w:val="2"/>
            <w:shd w:color="auto" w:fill="FFFF99" w:val="clear"/>
          </w:tcPr>
          <w:p w:rsidP="00887EE8" w:rsidR="002B2CF2" w:rsidRDefault="002B2CF2" w:rsidRPr="008F6F32">
            <w:pPr>
              <w:spacing w:after="120" w:before="120"/>
              <w:ind w:left="113"/>
              <w:rPr>
                <w:rFonts w:ascii="Verdana" w:cs="Arial" w:eastAsia="Arial" w:hAnsi="Verdana"/>
                <w:sz w:val="24"/>
              </w:rPr>
            </w:pPr>
            <w:r w:rsidRPr="00187B31">
              <w:rPr>
                <w:rFonts w:ascii="Verdana" w:cs="Arial" w:eastAsia="Arial" w:hAnsi="Verdana"/>
                <w:sz w:val="24"/>
              </w:rPr>
              <w:t>PCI</w:t>
            </w:r>
            <w:r>
              <w:rPr>
                <w:rFonts w:ascii="Verdana" w:cs="Arial" w:eastAsia="Arial" w:hAnsi="Verdana"/>
                <w:sz w:val="24"/>
              </w:rPr>
              <w:t xml:space="preserve"> (for energy </w:t>
            </w:r>
            <w:r w:rsidR="00B96B89">
              <w:rPr>
                <w:rFonts w:ascii="Verdana" w:cs="Arial" w:eastAsia="Arial" w:hAnsi="Verdana"/>
                <w:sz w:val="24"/>
              </w:rPr>
              <w:t xml:space="preserve">and synergy </w:t>
            </w:r>
            <w:r>
              <w:rPr>
                <w:rFonts w:ascii="Verdana" w:cs="Arial" w:eastAsia="Arial" w:hAnsi="Verdana"/>
                <w:sz w:val="24"/>
              </w:rPr>
              <w:t>only)</w:t>
            </w:r>
          </w:p>
        </w:tc>
        <w:tc>
          <w:tcPr>
            <w:tcW w:type="pct" w:w="3424"/>
            <w:vAlign w:val="center"/>
          </w:tcPr>
          <w:p w:rsidP="00887EE8" w:rsidR="002B2CF2" w:rsidRDefault="0086003A" w:rsidRPr="008F6F32">
            <w:pPr>
              <w:spacing w:after="120" w:before="120"/>
              <w:ind w:left="113"/>
              <w:rPr>
                <w:rFonts w:ascii="Verdana" w:cs="Arial" w:eastAsia="Arial" w:hAnsi="Verdana"/>
                <w:sz w:val="24"/>
              </w:rPr>
            </w:pPr>
            <w:r>
              <w:rPr>
                <w:rFonts w:ascii="Verdana" w:cs="Arial" w:eastAsia="Arial" w:hAnsi="Verdana"/>
                <w:noProof/>
                <w:sz w:val="24"/>
              </w:rPr>
              <w:t/>
            </w:r>
          </w:p>
        </w:tc>
      </w:tr>
    </w:tbl>
    <w:p w:rsidR="002B2CF2" w:rsidRDefault="00E32B6D">
      <w:r w:rsidR="00310E2D">
        <w:rPr>
          <w:noProof/>
        </w:rPr>
        <w:t/>
      </w:r>
    </w:p>
    <w:tbl>
      <w:tblPr>
        <w:tblStyle w:val="TableGrid"/>
        <w:tblW w:type="pct" w:w="5003"/>
        <w:jc w:val="center"/>
        <w:tblInd w:type="dxa" w:w="0"/>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CellMar>
          <w:top w:type="dxa" w:w="13"/>
          <w:right w:type="dxa" w:w="7"/>
        </w:tblCellMar>
        <w:tblLook w:firstColumn="1" w:firstRow="1" w:lastColumn="0" w:lastRow="0" w:noHBand="0" w:noVBand="1" w:val="04A0"/>
      </w:tblPr>
      <w:tblGrid>
        <w:gridCol w:w="2861"/>
        <w:gridCol w:w="6216"/>
      </w:tblGrid>
      <w:tr w:rsidR="00AC1B86" w:rsidRPr="00187B31" w:rsidTr="000C4B70">
        <w:trPr>
          <w:trHeight w:val="355"/>
          <w:jc w:val="center"/>
        </w:trPr>
        <w:tc>
          <w:tcPr>
            <w:tcW w:type="pct" w:w="5000"/>
            <w:gridSpan w:val="2"/>
            <w:shd w:color="auto" w:fill="99CCFF" w:val="clear"/>
          </w:tcPr>
          <w:p w:rsidP="00887EE8" w:rsidR="00AC1B86" w:rsidRDefault="00AC1B86" w:rsidRPr="00187B31">
            <w:pPr>
              <w:spacing w:after="120" w:before="120"/>
              <w:ind w:left="113"/>
              <w:rPr>
                <w:rFonts w:ascii="Verdana" w:hAnsi="Verdana"/>
              </w:rPr>
            </w:pPr>
            <w:r w:rsidRPr="00252ECC">
              <w:rPr>
                <w:rFonts w:ascii="Verdana" w:cs="Arial" w:eastAsia="Arial" w:hAnsi="Verdana"/>
                <w:sz w:val="36"/>
              </w:rPr>
              <w:t>Author of the report</w:t>
            </w:r>
          </w:p>
        </w:tc>
      </w:tr>
      <w:tr w:rsidR="00AC1B86" w:rsidRPr="00187B31" w:rsidTr="000C4B70">
        <w:trPr>
          <w:trHeight w:val="653"/>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Name</w:t>
            </w:r>
          </w:p>
        </w:tc>
        <w:tc>
          <w:tcPr>
            <w:tcW w:type="pct" w:w="3424"/>
            <w:vAlign w:val="center"/>
          </w:tcPr>
          <w:p w:rsidP="00310E2D" w:rsidR="00AC1B86" w:rsidRDefault="00310E2D" w:rsidRPr="00310E2D">
            <w:pPr>
              <w:spacing w:after="120" w:before="120"/>
              <w:ind w:left="113"/>
              <w:rPr>
                <w:rFonts w:ascii="Verdana" w:cs="Arial" w:eastAsia="Arial" w:hAnsi="Verdana"/>
                <w:sz w:val="24"/>
              </w:rPr>
            </w:pPr>
            <w:r>
              <w:rPr>
                <w:rFonts w:ascii="Verdana" w:cs="Arial" w:eastAsia="Arial" w:hAnsi="Verdana"/>
                <w:noProof/>
                <w:sz w:val="24"/>
              </w:rPr>
              <w:t>Roman</w:t>
            </w:r>
            <w:r>
              <w:rPr>
                <w:rFonts w:ascii="Verdana" w:cs="Arial" w:eastAsia="Arial" w:hAnsi="Verdana"/>
                <w:sz w:val="24"/>
              </w:rPr>
              <w:t xml:space="preserve"> </w:t>
            </w:r>
            <w:r>
              <w:rPr>
                <w:rFonts w:ascii="Verdana" w:cs="Arial" w:eastAsia="Arial" w:hAnsi="Verdana"/>
                <w:noProof/>
                <w:sz w:val="24"/>
              </w:rPr>
              <w:t>Havelka</w:t>
            </w:r>
          </w:p>
        </w:tc>
      </w:tr>
      <w:tr w:rsidR="00AC1B86" w:rsidRPr="00187B31" w:rsidTr="000C4B70">
        <w:trPr>
          <w:trHeight w:val="653"/>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Position</w:t>
            </w:r>
          </w:p>
        </w:tc>
        <w:tc>
          <w:tcPr>
            <w:tcW w:type="pct" w:w="3424"/>
            <w:vAlign w:val="center"/>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Project Manager</w:t>
            </w:r>
          </w:p>
        </w:tc>
      </w:tr>
      <w:tr w:rsidR="00AC1B86" w:rsidRPr="00187B31" w:rsidTr="000C4B70">
        <w:trPr>
          <w:trHeight w:val="637"/>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Entity</w:t>
            </w:r>
          </w:p>
        </w:tc>
        <w:tc>
          <w:tcPr>
            <w:tcW w:type="pct" w:w="3424"/>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Železnice Slovenskej republiky</w:t>
            </w:r>
          </w:p>
        </w:tc>
      </w:tr>
      <w:tr w:rsidR="00AC1B86" w:rsidRPr="00187B31" w:rsidTr="000C4B70">
        <w:trPr>
          <w:trHeight w:val="355"/>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Telephone Nº</w:t>
            </w:r>
          </w:p>
        </w:tc>
        <w:tc>
          <w:tcPr>
            <w:tcW w:type="pct" w:w="3424"/>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+421220293321</w:t>
            </w:r>
          </w:p>
        </w:tc>
      </w:tr>
      <w:tr w:rsidR="00AC1B86" w:rsidRPr="00187B31" w:rsidTr="000C4B70">
        <w:trPr>
          <w:trHeight w:val="355"/>
          <w:jc w:val="center"/>
        </w:trPr>
        <w:tc>
          <w:tcPr>
            <w:tcW w:type="pct" w:w="1576"/>
            <w:shd w:color="auto" w:fill="FFFF99" w:val="clear"/>
          </w:tcPr>
          <w:p w:rsidP="00887EE8" w:rsidR="00AC1B86" w:rsidRDefault="00AC1B86" w:rsidRPr="00187B31">
            <w:pPr>
              <w:spacing w:after="120" w:before="120"/>
              <w:ind w:left="113"/>
              <w:rPr>
                <w:rFonts w:ascii="Verdana" w:hAnsi="Verdana"/>
              </w:rPr>
            </w:pPr>
            <w:r w:rsidRPr="00187B31">
              <w:rPr>
                <w:rFonts w:ascii="Verdana" w:cs="Arial" w:eastAsia="Arial" w:hAnsi="Verdana"/>
                <w:sz w:val="24"/>
              </w:rPr>
              <w:t>E-mail</w:t>
            </w:r>
          </w:p>
        </w:tc>
        <w:tc>
          <w:tcPr>
            <w:tcW w:type="pct" w:w="3424"/>
          </w:tcPr>
          <w:p w:rsidP="00887EE8" w:rsidR="00AC1B86" w:rsidRDefault="00685259" w:rsidRPr="00310E2D">
            <w:pPr>
              <w:spacing w:after="120" w:before="120"/>
              <w:ind w:left="113"/>
              <w:rPr>
                <w:rFonts w:ascii="Verdana" w:cs="Arial" w:eastAsia="Arial" w:hAnsi="Verdana"/>
                <w:sz w:val="24"/>
              </w:rPr>
            </w:pPr>
            <w:r>
              <w:rPr>
                <w:rFonts w:ascii="Verdana" w:cs="Arial" w:eastAsia="Arial" w:hAnsi="Verdana"/>
                <w:noProof/>
                <w:sz w:val="24"/>
              </w:rPr>
              <w:t>havelka.roman@zsr.sk</w:t>
            </w:r>
          </w:p>
        </w:tc>
      </w:tr>
    </w:tbl>
    <w:p w:rsidR="00514B03" w:rsidRDefault="00514B03">
      <w:pPr>
        <w:spacing w:after="0" w:line="240" w:lineRule="auto"/>
      </w:pPr>
    </w:p>
    <w:p w:rsidR="00C7427B" w:rsidRDefault="00E035B3">
      <w:pPr>
        <w:spacing w:after="0" w:line="240" w:lineRule="auto"/>
      </w:pPr>
      <w:r w:rsidR="00310E2D">
        <w:rPr>
          <w:noProof/>
        </w:rPr>
        <w:t/>
      </w:r>
      <w:r w:rsidR="00C7427B">
        <w:br w:type="page"/>
      </w:r>
    </w:p>
    <w:p w:rsidR="00C7427B" w:rsidRDefault="00C7427B"/>
    <w:tbl>
      <w:tblPr>
        <w:tblpPr w:horzAnchor="margin" w:leftFromText="180" w:rightFromText="180" w:tblpXSpec="center" w:tblpY="123" w:vertAnchor="text"/>
        <w:tblW w:type="pct" w:w="5000"/>
        <w:tblBorders>
          <w:top w:color="auto" w:space="0" w:sz="18" w:val="single"/>
          <w:left w:color="auto" w:space="0" w:sz="18" w:val="single"/>
          <w:bottom w:color="auto" w:space="0" w:sz="18" w:val="single"/>
          <w:right w:color="auto" w:space="0" w:sz="18" w:val="single"/>
          <w:insideH w:color="auto" w:space="0" w:sz="18" w:val="single"/>
          <w:insideV w:color="auto" w:space="0" w:sz="18" w:val="single"/>
        </w:tblBorders>
        <w:shd w:color="auto" w:fill="FFFFFF" w:val="clear"/>
        <w:tblLayout w:type="fixed"/>
        <w:tblLook w:firstColumn="0" w:firstRow="0" w:lastColumn="0" w:lastRow="0" w:noHBand="0" w:noVBand="0" w:val="0000"/>
      </w:tblPr>
      <w:tblGrid>
        <w:gridCol w:w="9242"/>
      </w:tblGrid>
      <w:tr w:rsidR="00301882" w:rsidRPr="00187B31" w:rsidTr="00301882">
        <w:trPr>
          <w:trHeight w:val="412"/>
        </w:trPr>
        <w:tc>
          <w:tcPr>
            <w:tcW w:type="dxa" w:w="9594"/>
            <w:shd w:color="auto" w:fill="99CCFF" w:val="clear"/>
            <w:tcMar>
              <w:top w:type="dxa" w:w="113"/>
              <w:bottom w:type="dxa" w:w="113"/>
            </w:tcMar>
          </w:tcPr>
          <w:p w:rsidP="00887EE8" w:rsidR="00301882" w:rsidRDefault="00301882" w:rsidRPr="006E5959">
            <w:pPr>
              <w:keepNext/>
              <w:snapToGrid w:val="0"/>
              <w:spacing w:after="120" w:before="120"/>
              <w:ind w:left="113" w:right="-17"/>
              <w:rPr>
                <w:rFonts w:ascii="Verdana" w:hAnsi="Verdana"/>
                <w:b/>
                <w:spacing w:val="-10"/>
                <w:sz w:val="32"/>
                <w:szCs w:val="32"/>
              </w:rPr>
            </w:pPr>
            <w:r w:rsidRPr="006E5959">
              <w:rPr>
                <w:rFonts w:ascii="Verdana" w:hAnsi="Verdana"/>
                <w:b/>
                <w:spacing w:val="-10"/>
                <w:sz w:val="32"/>
                <w:szCs w:val="32"/>
              </w:rPr>
              <w:t xml:space="preserve">2. INFORMATION ON THE PROGRESS </w:t>
            </w:r>
            <w:r>
              <w:rPr>
                <w:rFonts w:ascii="Verdana" w:hAnsi="Verdana"/>
                <w:b/>
                <w:spacing w:val="-10"/>
                <w:sz w:val="32"/>
                <w:szCs w:val="32"/>
              </w:rPr>
              <w:t xml:space="preserve">OF </w:t>
            </w:r>
            <w:r w:rsidRPr="006E5959">
              <w:rPr>
                <w:rFonts w:ascii="Verdana" w:hAnsi="Verdana"/>
                <w:b/>
                <w:spacing w:val="-10"/>
                <w:sz w:val="32"/>
                <w:szCs w:val="32"/>
              </w:rPr>
              <w:t>THE ACTION</w:t>
            </w:r>
            <w:r>
              <w:rPr>
                <w:rFonts w:ascii="Verdana" w:hAnsi="Verdana"/>
                <w:b/>
                <w:spacing w:val="-10"/>
                <w:sz w:val="32"/>
                <w:szCs w:val="32"/>
              </w:rPr>
              <w:t xml:space="preserve"> </w:t>
            </w:r>
            <w:r w:rsidRPr="006A511D">
              <w:rPr>
                <w:rFonts w:ascii="Verdana" w:hAnsi="Verdana"/>
                <w:b/>
                <w:spacing w:val="-10"/>
                <w:sz w:val="24"/>
                <w:szCs w:val="32"/>
              </w:rPr>
              <w:t>(GA II.23.1.1.c</w:t>
            </w:r>
            <w:r>
              <w:rPr>
                <w:rFonts w:ascii="Verdana" w:hAnsi="Verdana"/>
                <w:b/>
                <w:spacing w:val="-10"/>
                <w:sz w:val="24"/>
                <w:szCs w:val="32"/>
              </w:rPr>
              <w:t xml:space="preserve"> or SESAR FPA II.23.1b.c</w:t>
            </w:r>
            <w:r w:rsidRPr="006A511D">
              <w:rPr>
                <w:rFonts w:ascii="Verdana" w:hAnsi="Verdana"/>
                <w:b/>
                <w:spacing w:val="-10"/>
                <w:sz w:val="24"/>
                <w:szCs w:val="32"/>
              </w:rPr>
              <w:t>)</w:t>
            </w:r>
          </w:p>
        </w:tc>
      </w:tr>
    </w:tbl>
    <w:p w:rsidR="00C7427B" w:rsidRDefault="00C7427B"/>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9E5213" w:rsidRPr="00187B31" w:rsidTr="009E5213">
        <w:trPr>
          <w:trHeight w:val="408"/>
          <w:jc w:val="center"/>
        </w:trPr>
        <w:tc>
          <w:tcPr>
            <w:tcW w:type="dxa" w:w="9594"/>
            <w:shd w:color="auto" w:fill="99CCFF" w:val="clear"/>
          </w:tcPr>
          <w:p w:rsidP="00887EE8" w:rsidR="009E5213" w:rsidRDefault="009E5213" w:rsidRPr="00187B31">
            <w:pPr>
              <w:spacing w:after="120" w:before="120"/>
              <w:ind w:left="113"/>
              <w:rPr>
                <w:rFonts w:ascii="Verdana" w:hAnsi="Verdana"/>
                <w:b/>
                <w:spacing w:val="-10"/>
              </w:rPr>
            </w:pPr>
            <w:r w:rsidRPr="00187B31">
              <w:rPr>
                <w:rFonts w:ascii="Verdana" w:hAnsi="Verdana"/>
                <w:b/>
                <w:spacing w:val="-10"/>
              </w:rPr>
              <w:t xml:space="preserve">2.1. </w:t>
            </w:r>
            <w:r>
              <w:rPr>
                <w:rFonts w:ascii="Verdana" w:hAnsi="Verdana"/>
                <w:b/>
                <w:spacing w:val="-10"/>
              </w:rPr>
              <w:t>Overall progress of the Action</w:t>
            </w:r>
            <w:r w:rsidRPr="00187B31">
              <w:rPr>
                <w:rFonts w:ascii="Verdana" w:hAnsi="Verdana"/>
                <w:b/>
                <w:spacing w:val="-10"/>
              </w:rPr>
              <w:t xml:space="preserve"> </w:t>
            </w:r>
            <w:r w:rsidR="00242468">
              <w:rPr>
                <w:rFonts w:ascii="Verdana" w:hAnsi="Verdana"/>
                <w:b/>
                <w:spacing w:val="-10"/>
              </w:rPr>
              <w:t>until the end of the previous reporting period</w:t>
            </w:r>
          </w:p>
        </w:tc>
      </w:tr>
    </w:tbl>
    <w:p w:rsidR="00C7427B" w:rsidRDefault="00C7427B"/>
    <w:tbl>
      <w:tblPr>
        <w:tblW w:type="pct" w:w="5000"/>
        <w:jc w:val="center"/>
        <w:tblLook w:firstColumn="1" w:firstRow="1" w:lastColumn="0" w:lastRow="0" w:noHBand="0" w:noVBand="1" w:val="04A0"/>
      </w:tblPr>
      <w:tblGrid>
        <w:gridCol w:w="942"/>
        <w:gridCol w:w="906"/>
        <w:gridCol w:w="1273"/>
        <w:gridCol w:w="1237"/>
        <w:gridCol w:w="1729"/>
        <w:gridCol w:w="1775"/>
        <w:gridCol w:w="1380"/>
      </w:tblGrid>
      <w:tr w:rsidR="008B6394" w:rsidRPr="00127DD0" w:rsidTr="00FC63CA">
        <w:trPr>
          <w:trHeight w:val="560"/>
          <w:jc w:val="center"/>
        </w:trPr>
        <w:tc>
          <w:tcPr>
            <w:tcW w:type="dxa" w:w="2601"/>
            <w:gridSpan w:val="2"/>
            <w:tcBorders>
              <w:top w:color="auto" w:space="0" w:sz="8" w:val="single"/>
              <w:left w:color="auto" w:space="0" w:sz="8" w:val="single"/>
              <w:bottom w:color="auto" w:space="0" w:sz="4" w:val="single"/>
              <w:right w:color="auto" w:space="0" w:sz="4" w:val="single"/>
            </w:tcBorders>
            <w:shd w:color="auto" w:fill="auto" w:val="clear"/>
            <w:noWrap/>
            <w:vAlign w:val="center"/>
            <w:hideMark/>
          </w:tcPr>
          <w:p w:rsidP="00887EE8" w:rsidR="009E5213" w:rsidRDefault="009E5213" w:rsidRPr="00127DD0">
            <w:pPr>
              <w:spacing w:after="0" w:line="240" w:lineRule="auto"/>
              <w:jc w:val="center"/>
              <w:rPr>
                <w:rFonts w:eastAsia="Times New Roman"/>
                <w:b/>
                <w:lang w:eastAsia="en-GB"/>
              </w:rPr>
            </w:pPr>
            <w:r w:rsidRPr="00127DD0">
              <w:rPr>
                <w:rFonts w:eastAsia="Times New Roman"/>
                <w:b/>
                <w:lang w:eastAsia="en-GB"/>
              </w:rPr>
              <w:t xml:space="preserve">Planned dates </w:t>
            </w:r>
            <w:r w:rsidRPr="00127DD0">
              <w:rPr>
                <w:rFonts w:eastAsia="Times New Roman"/>
                <w:b/>
                <w:sz w:val="18"/>
                <w:lang w:eastAsia="en-GB"/>
              </w:rPr>
              <w:t>(GA)</w:t>
            </w:r>
          </w:p>
        </w:tc>
        <w:tc>
          <w:tcPr>
            <w:tcW w:type="dxa" w:w="2677"/>
            <w:gridSpan w:val="2"/>
            <w:tcBorders>
              <w:top w:color="auto" w:space="0" w:sz="8" w:val="single"/>
              <w:left w:val="nil"/>
              <w:bottom w:color="auto" w:space="0" w:sz="4" w:val="single"/>
              <w:right w:color="auto" w:space="0" w:sz="4" w:val="single"/>
            </w:tcBorders>
            <w:shd w:color="auto" w:fill="auto" w:val="clear"/>
            <w:noWrap/>
            <w:vAlign w:val="center"/>
            <w:hideMark/>
          </w:tcPr>
          <w:p w:rsidP="00887EE8" w:rsidR="009E5213" w:rsidRDefault="009E5213" w:rsidRPr="00127DD0">
            <w:pPr>
              <w:spacing w:after="0" w:line="240" w:lineRule="auto"/>
              <w:jc w:val="center"/>
              <w:rPr>
                <w:rFonts w:eastAsia="Times New Roman"/>
                <w:b/>
                <w:lang w:eastAsia="en-GB"/>
              </w:rPr>
            </w:pPr>
            <w:r>
              <w:rPr>
                <w:rFonts w:eastAsia="Times New Roman"/>
                <w:b/>
                <w:lang w:eastAsia="en-GB"/>
              </w:rPr>
              <w:t>Previous</w:t>
            </w:r>
            <w:r w:rsidRPr="00127DD0">
              <w:rPr>
                <w:rFonts w:eastAsia="Times New Roman"/>
                <w:b/>
                <w:lang w:eastAsia="en-GB"/>
              </w:rPr>
              <w:t xml:space="preserve"> ASR dates</w:t>
            </w:r>
          </w:p>
        </w:tc>
        <w:tc>
          <w:tcPr>
            <w:tcW w:type="dxa" w:w="2649"/>
            <w:gridSpan w:val="2"/>
            <w:tcBorders>
              <w:top w:color="auto" w:space="0" w:sz="8" w:val="single"/>
              <w:left w:val="nil"/>
              <w:bottom w:color="auto" w:space="0" w:sz="4" w:val="single"/>
              <w:right w:color="auto" w:space="0" w:sz="4" w:val="single"/>
            </w:tcBorders>
            <w:shd w:color="auto" w:fill="auto" w:val="clear"/>
            <w:noWrap/>
            <w:vAlign w:val="center"/>
            <w:hideMark/>
          </w:tcPr>
          <w:p w:rsidP="004B31A7" w:rsidR="009E5213" w:rsidRDefault="004B31A7" w:rsidRPr="00127DD0">
            <w:pPr>
              <w:spacing w:after="0" w:line="240" w:lineRule="auto"/>
              <w:jc w:val="center"/>
              <w:rPr>
                <w:rFonts w:eastAsia="Times New Roman"/>
                <w:b/>
                <w:lang w:eastAsia="en-GB"/>
              </w:rPr>
            </w:pPr>
            <w:r>
              <w:rPr>
                <w:rFonts w:eastAsia="Times New Roman"/>
                <w:b/>
                <w:lang w:eastAsia="en-GB"/>
              </w:rPr>
              <w:t>Actual</w:t>
            </w:r>
            <w:r w:rsidR="009E5213" w:rsidRPr="00127DD0">
              <w:rPr>
                <w:rFonts w:eastAsia="Times New Roman"/>
                <w:b/>
                <w:lang w:eastAsia="en-GB"/>
              </w:rPr>
              <w:t xml:space="preserve"> dates</w:t>
            </w:r>
          </w:p>
        </w:tc>
        <w:tc>
          <w:tcPr>
            <w:tcW w:type="dxa" w:w="1315"/>
            <w:vMerge w:val="restart"/>
            <w:tcBorders>
              <w:top w:color="auto" w:space="0" w:sz="8" w:val="single"/>
              <w:left w:color="auto" w:space="0" w:sz="4" w:val="single"/>
              <w:right w:color="auto" w:space="0" w:sz="4" w:val="single"/>
            </w:tcBorders>
            <w:shd w:color="auto" w:fill="auto" w:val="clear"/>
            <w:vAlign w:val="center"/>
            <w:hideMark/>
          </w:tcPr>
          <w:p w:rsidP="00462537" w:rsidR="009E5213" w:rsidRDefault="00462537" w:rsidRPr="00127DD0">
            <w:pPr>
              <w:spacing w:after="0" w:line="240" w:lineRule="auto"/>
              <w:jc w:val="center"/>
              <w:rPr>
                <w:rFonts w:eastAsia="Times New Roman"/>
                <w:b/>
                <w:lang w:eastAsia="en-GB"/>
              </w:rPr>
            </w:pPr>
            <w:r>
              <w:rPr>
                <w:rFonts w:eastAsia="Times New Roman"/>
                <w:b/>
                <w:lang w:eastAsia="en-GB"/>
              </w:rPr>
              <w:t>Overall t</w:t>
            </w:r>
            <w:r w:rsidR="00242468">
              <w:rPr>
                <w:rFonts w:eastAsia="Times New Roman"/>
                <w:b/>
                <w:lang w:eastAsia="en-GB"/>
              </w:rPr>
              <w:t>echnical p</w:t>
            </w:r>
            <w:r w:rsidR="009E5213" w:rsidRPr="00127DD0">
              <w:rPr>
                <w:rFonts w:eastAsia="Times New Roman"/>
                <w:b/>
                <w:lang w:eastAsia="en-GB"/>
              </w:rPr>
              <w:t xml:space="preserve">rogress achieved at the end of the </w:t>
            </w:r>
            <w:r w:rsidR="00242468">
              <w:rPr>
                <w:rFonts w:eastAsia="Times New Roman"/>
                <w:b/>
                <w:lang w:eastAsia="en-GB"/>
              </w:rPr>
              <w:t xml:space="preserve">previous </w:t>
            </w:r>
            <w:r w:rsidR="009E5213" w:rsidRPr="00127DD0">
              <w:rPr>
                <w:rFonts w:eastAsia="Times New Roman"/>
                <w:b/>
                <w:lang w:eastAsia="en-GB"/>
              </w:rPr>
              <w:t xml:space="preserve">reporting period </w:t>
            </w:r>
            <w:r w:rsidR="009E5213" w:rsidRPr="00127DD0">
              <w:rPr>
                <w:rFonts w:eastAsia="Times New Roman"/>
                <w:b/>
                <w:sz w:val="18"/>
                <w:lang w:eastAsia="en-GB"/>
              </w:rPr>
              <w:t>(%)</w:t>
            </w:r>
            <w:r w:rsidR="009E5213">
              <w:rPr>
                <w:rFonts w:eastAsia="Times New Roman"/>
                <w:b/>
                <w:sz w:val="18"/>
                <w:lang w:eastAsia="en-GB"/>
              </w:rPr>
              <w:t>*</w:t>
            </w:r>
          </w:p>
        </w:tc>
      </w:tr>
      <w:tr w:rsidR="008B6394" w:rsidRPr="0004062D" w:rsidTr="00FC63CA">
        <w:trPr>
          <w:trHeight w:val="560"/>
          <w:jc w:val="center"/>
        </w:trPr>
        <w:tc>
          <w:tcPr>
            <w:tcW w:type="dxa" w:w="1313"/>
            <w:tcBorders>
              <w:top w:val="nil"/>
              <w:left w:color="auto" w:space="0" w:sz="8" w:val="single"/>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Start</w:t>
            </w:r>
          </w:p>
        </w:tc>
        <w:tc>
          <w:tcPr>
            <w:tcW w:type="dxa" w:w="1288"/>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End</w:t>
            </w:r>
          </w:p>
        </w:tc>
        <w:tc>
          <w:tcPr>
            <w:tcW w:type="dxa" w:w="1338"/>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Start</w:t>
            </w:r>
          </w:p>
        </w:tc>
        <w:tc>
          <w:tcPr>
            <w:tcW w:type="dxa" w:w="1339"/>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End</w:t>
            </w:r>
          </w:p>
        </w:tc>
        <w:tc>
          <w:tcPr>
            <w:tcW w:type="dxa" w:w="1318"/>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Start</w:t>
            </w:r>
          </w:p>
        </w:tc>
        <w:tc>
          <w:tcPr>
            <w:tcW w:type="dxa" w:w="1331"/>
            <w:tcBorders>
              <w:top w:val="nil"/>
              <w:left w:val="nil"/>
              <w:bottom w:color="auto" w:space="0" w:sz="8" w:val="single"/>
              <w:right w:color="auto" w:space="0" w:sz="4" w:val="single"/>
            </w:tcBorders>
            <w:shd w:color="auto" w:fill="auto" w:val="clear"/>
            <w:noWrap/>
            <w:vAlign w:val="center"/>
            <w:hideMark/>
          </w:tcPr>
          <w:p w:rsidP="00887EE8" w:rsidR="009E5213" w:rsidRDefault="009E5213" w:rsidRPr="0004062D">
            <w:pPr>
              <w:spacing w:after="0" w:line="240" w:lineRule="auto"/>
              <w:jc w:val="center"/>
              <w:rPr>
                <w:rFonts w:eastAsia="Times New Roman"/>
                <w:lang w:eastAsia="en-GB"/>
              </w:rPr>
            </w:pPr>
            <w:r w:rsidRPr="0004062D">
              <w:rPr>
                <w:rFonts w:eastAsia="Times New Roman"/>
                <w:lang w:eastAsia="en-GB"/>
              </w:rPr>
              <w:t>End</w:t>
            </w:r>
          </w:p>
        </w:tc>
        <w:tc>
          <w:tcPr>
            <w:tcW w:type="dxa" w:w="1315"/>
            <w:vMerge/>
            <w:tcBorders>
              <w:left w:color="auto" w:space="0" w:sz="4" w:val="single"/>
              <w:bottom w:color="auto" w:space="0" w:sz="8" w:val="single"/>
              <w:right w:color="auto" w:space="0" w:sz="4" w:val="single"/>
            </w:tcBorders>
            <w:vAlign w:val="center"/>
            <w:hideMark/>
          </w:tcPr>
          <w:p w:rsidP="00887EE8" w:rsidR="009E5213" w:rsidRDefault="009E5213" w:rsidRPr="0004062D">
            <w:pPr>
              <w:spacing w:after="0" w:line="240" w:lineRule="auto"/>
              <w:rPr>
                <w:rFonts w:eastAsia="Times New Roman"/>
                <w:lang w:eastAsia="en-GB"/>
              </w:rPr>
            </w:pPr>
          </w:p>
        </w:tc>
      </w:tr>
      <w:tr w:rsidR="008B6394" w:rsidRPr="0004062D" w:rsidTr="00597DD7">
        <w:trPr>
          <w:trHeight w:val="300"/>
          <w:jc w:val="center"/>
        </w:trPr>
        <w:tc>
          <w:tcPr>
            <w:tcW w:type="dxa" w:w="1313"/>
            <w:tcBorders>
              <w:top w:val="nil"/>
              <w:left w:color="auto" w:space="0" w:sz="8" w:val="single"/>
              <w:bottom w:color="000000" w:space="0" w:sz="8" w:val="single"/>
              <w:right w:color="auto" w:space="0" w:sz="4" w:val="single"/>
            </w:tcBorders>
            <w:shd w:color="auto" w:fill="auto" w:val="clear"/>
            <w:noWrap/>
            <w:vAlign w:val="center"/>
          </w:tcPr>
          <w:p w:rsidP="00A66273" w:rsidR="009E5213" w:rsidRDefault="00A877EE" w:rsidRPr="0004062D">
            <w:pPr>
              <w:spacing w:after="0" w:line="240" w:lineRule="auto"/>
              <w:rPr>
                <w:rFonts w:eastAsia="Times New Roman"/>
                <w:lang w:eastAsia="en-GB"/>
              </w:rPr>
            </w:pPr>
            <w:r>
              <w:rPr>
                <w:rFonts w:eastAsia="Times New Roman"/>
                <w:noProof/>
                <w:lang w:eastAsia="en-GB"/>
              </w:rPr>
              <w:t>17/02/2016</w:t>
            </w:r>
          </w:p>
        </w:tc>
        <w:tc>
          <w:tcPr>
            <w:tcW w:type="dxa" w:w="1288"/>
            <w:tcBorders>
              <w:top w:val="nil"/>
              <w:left w:val="nil"/>
              <w:bottom w:color="000000" w:space="0" w:sz="8" w:val="single"/>
              <w:right w:color="auto" w:space="0" w:sz="4" w:val="single"/>
            </w:tcBorders>
            <w:shd w:color="auto" w:fill="auto" w:val="clear"/>
            <w:noWrap/>
            <w:vAlign w:val="center"/>
          </w:tcPr>
          <w:p w:rsidP="00A66273" w:rsidR="009E5213" w:rsidRDefault="00A877EE" w:rsidRPr="0004062D">
            <w:pPr>
              <w:spacing w:after="0" w:line="240" w:lineRule="auto"/>
              <w:rPr>
                <w:rFonts w:eastAsia="Times New Roman"/>
                <w:lang w:eastAsia="en-GB"/>
              </w:rPr>
            </w:pPr>
            <w:r>
              <w:rPr>
                <w:rFonts w:eastAsia="Times New Roman"/>
                <w:noProof/>
                <w:lang w:eastAsia="en-GB"/>
              </w:rPr>
              <w:t>07/04/2023</w:t>
            </w:r>
          </w:p>
        </w:tc>
        <w:tc>
          <w:tcPr>
            <w:tcW w:type="dxa" w:w="1338"/>
            <w:tcBorders>
              <w:top w:val="nil"/>
              <w:left w:val="nil"/>
              <w:bottom w:color="000000" w:space="0" w:sz="8" w:val="single"/>
              <w:right w:color="auto" w:space="0" w:sz="4" w:val="single"/>
            </w:tcBorders>
            <w:shd w:color="auto" w:fill="auto" w:val="clear"/>
            <w:noWrap/>
            <w:vAlign w:val="center"/>
          </w:tcPr>
          <w:p w:rsidP="00A66273" w:rsidR="009E5213" w:rsidRDefault="00F82123" w:rsidRPr="00BC26B8">
            <w:pPr>
              <w:spacing w:after="0" w:line="240" w:lineRule="auto"/>
              <w:rPr>
                <w:rFonts w:eastAsia="Times New Roman"/>
                <w:lang w:eastAsia="en-GB"/>
              </w:rPr>
            </w:pPr>
            <w:r w:rsidR="008A130B">
              <w:rPr>
                <w:rFonts w:eastAsia="Times New Roman"/>
                <w:noProof/>
                <w:lang w:eastAsia="en-GB"/>
              </w:rPr>
              <w:t>17/02/2016</w:t>
            </w:r>
          </w:p>
        </w:tc>
        <w:tc>
          <w:tcPr>
            <w:tcW w:type="dxa" w:w="1339"/>
            <w:tcBorders>
              <w:top w:val="nil"/>
              <w:left w:val="nil"/>
              <w:bottom w:color="000000" w:space="0" w:sz="8" w:val="single"/>
              <w:right w:color="auto" w:space="0" w:sz="4" w:val="single"/>
            </w:tcBorders>
            <w:shd w:color="auto" w:fill="auto" w:val="clear"/>
            <w:noWrap/>
            <w:vAlign w:val="center"/>
          </w:tcPr>
          <w:p w:rsidP="00A66273" w:rsidR="009E5213" w:rsidRDefault="00F82123" w:rsidRPr="00BC26B8">
            <w:pPr>
              <w:spacing w:after="0" w:line="240" w:lineRule="auto"/>
              <w:rPr>
                <w:rFonts w:eastAsia="Times New Roman"/>
                <w:lang w:eastAsia="en-GB"/>
              </w:rPr>
            </w:pPr>
            <w:r>
              <w:rPr>
                <w:rFonts w:eastAsia="Times New Roman"/>
                <w:noProof/>
                <w:lang w:eastAsia="en-GB"/>
              </w:rPr>
              <w:t>30/11/2023</w:t>
            </w:r>
          </w:p>
        </w:tc>
        <w:tc>
          <w:tcPr>
            <w:tcW w:type="dxa" w:w="1318"/>
            <w:tcBorders>
              <w:top w:val="nil"/>
              <w:left w:val="nil"/>
              <w:bottom w:color="000000" w:space="0" w:sz="8" w:val="single"/>
              <w:right w:color="auto" w:space="0" w:sz="4" w:val="single"/>
            </w:tcBorders>
            <w:shd w:color="auto" w:fill="auto" w:val="clear"/>
            <w:noWrap/>
            <w:vAlign w:val="center"/>
          </w:tcPr>
          <w:p w:rsidP="001F5EB1" w:rsidR="009E5213" w:rsidRDefault="0002778D" w:rsidRPr="0004062D">
            <w:pPr>
              <w:spacing w:after="0" w:line="240" w:lineRule="auto"/>
              <w:rPr>
                <w:rFonts w:eastAsia="Times New Roman"/>
                <w:lang w:eastAsia="en-GB"/>
              </w:rPr>
            </w:pPr>
            <w:r>
              <w:rPr>
                <w:rFonts w:eastAsia="Times New Roman"/>
                <w:noProof/>
                <w:lang w:eastAsia="en-GB"/>
              </w:rPr>
              <w:t>17/02/2016</w:t>
            </w:r>
          </w:p>
        </w:tc>
        <w:tc>
          <w:tcPr>
            <w:tcW w:type="dxa" w:w="1331"/>
            <w:tcBorders>
              <w:top w:val="nil"/>
              <w:left w:val="nil"/>
              <w:bottom w:color="000000" w:space="0" w:sz="8" w:val="single"/>
              <w:right w:color="auto" w:space="0" w:sz="4" w:val="single"/>
            </w:tcBorders>
            <w:shd w:color="auto" w:fill="auto" w:val="clear"/>
            <w:noWrap/>
            <w:vAlign w:val="center"/>
          </w:tcPr>
          <w:p w:rsidP="001F5EB1" w:rsidR="009E5213" w:rsidRDefault="0002778D" w:rsidRPr="0004062D">
            <w:pPr>
              <w:spacing w:after="0" w:line="240" w:lineRule="auto"/>
              <w:rPr>
                <w:rFonts w:eastAsia="Times New Roman"/>
                <w:lang w:eastAsia="en-GB"/>
              </w:rPr>
            </w:pPr>
            <w:r>
              <w:rPr>
                <w:rFonts w:eastAsia="Times New Roman"/>
                <w:noProof/>
                <w:lang w:eastAsia="en-GB"/>
              </w:rPr>
              <w:t>31/12/2023</w:t>
            </w:r>
          </w:p>
        </w:tc>
        <w:tc>
          <w:tcPr>
            <w:tcW w:type="dxa" w:w="1315"/>
            <w:tcBorders>
              <w:top w:val="nil"/>
              <w:left w:val="nil"/>
              <w:bottom w:color="000000" w:space="0" w:sz="8" w:val="single"/>
              <w:right w:color="auto" w:space="0" w:sz="4" w:val="single"/>
            </w:tcBorders>
            <w:shd w:color="auto" w:fill="auto" w:val="clear"/>
            <w:noWrap/>
            <w:vAlign w:val="center"/>
          </w:tcPr>
          <w:p w:rsidP="005C32CB" w:rsidR="00E61275" w:rsidRDefault="005C32CB" w:rsidRPr="00393F18">
            <w:pPr>
              <w:spacing w:after="0" w:line="240" w:lineRule="auto"/>
              <w:jc w:val="center"/>
              <w:rPr>
                <w:rFonts w:eastAsia="Times New Roman"/>
                <w:lang w:eastAsia="en-GB"/>
              </w:rPr>
            </w:pPr>
            <w:r>
              <w:rPr>
                <w:rFonts w:eastAsia="Times New Roman"/>
                <w:noProof/>
                <w:lang w:eastAsia="en-GB"/>
              </w:rPr>
              <w:t>77.00</w:t>
            </w:r>
          </w:p>
        </w:tc>
      </w:tr>
      <w:tr w:rsidR="009E5213" w:rsidRPr="00127DD0" w:rsidTr="00FC63CA">
        <w:trPr>
          <w:trHeight w:val="300"/>
          <w:jc w:val="center"/>
        </w:trPr>
        <w:tc>
          <w:tcPr>
            <w:tcW w:type="dxa" w:w="9242"/>
            <w:gridSpan w:val="7"/>
            <w:tcBorders>
              <w:top w:color="000000" w:space="0" w:sz="8" w:val="single"/>
              <w:left w:color="auto" w:space="0" w:sz="8" w:val="single"/>
              <w:bottom w:color="000000" w:space="0" w:sz="8" w:val="single"/>
              <w:right w:color="000000" w:space="0" w:sz="8" w:val="single"/>
            </w:tcBorders>
            <w:shd w:color="auto" w:fill="auto" w:val="clear"/>
            <w:noWrap/>
            <w:vAlign w:val="bottom"/>
          </w:tcPr>
          <w:p w:rsidP="00887EE8" w:rsidR="009E5213" w:rsidRDefault="009E5213" w:rsidRPr="00127DD0">
            <w:pPr>
              <w:spacing w:after="0" w:line="240" w:lineRule="auto"/>
              <w:jc w:val="center"/>
              <w:rPr>
                <w:rStyle w:val="CommentReference"/>
                <w: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9E5213" w:rsidRPr="0004062D" w:rsidTr="00FC63CA">
        <w:trPr>
          <w:trHeight w:val="641"/>
          <w:jc w:val="center"/>
        </w:trPr>
        <w:tc>
          <w:tcPr>
            <w:tcW w:type="dxa" w:w="9242"/>
            <w:gridSpan w:val="7"/>
            <w:tcBorders>
              <w:top w:color="000000" w:space="0" w:sz="8" w:val="single"/>
              <w:left w:color="auto" w:space="0" w:sz="8" w:val="single"/>
              <w:bottom w:color="auto" w:space="0" w:sz="8" w:val="single"/>
              <w:right w:color="000000" w:space="0" w:sz="8" w:val="single"/>
            </w:tcBorders>
            <w:shd w:color="auto" w:fill="auto" w:val="clear"/>
            <w:noWrap/>
            <w:vAlign w:val="center"/>
          </w:tcPr>
          <w:p w:rsidP="001F5EB1" w:rsidR="009E5213" w:rsidRDefault="00EF34CA">
            <w:pPr>
              <w:spacing w:after="0" w:line="240" w:lineRule="auto"/>
              <w:rPr>
                <w:rStyle w:val="CommentReference"/>
              </w:rPr>
            </w:pPr>
            <w:r>
              <w:rPr>
                <w:rFonts w:eastAsia="Times New Roman"/>
                <w:noProof/>
                <w:lang w:eastAsia="en-GB"/>
              </w:rPr>
              <w:t>The methodology for calculation of the technical progress 75 % is based on the weighted percentage technical progress of each activity.</w:t>
              <w:br/>
              <w:t xml:space="preserve"/>
              <w:br/>
              <w:t xml:space="preserve">Within each activity a percentage number for technical progress is assigned to every milestone while a percentage number for technical progress is assigned to every activity within the Action. The percentage numbers for technical progress of the milestones and the activities are presented in Table 1, Annex 1.</w:t>
              <w:br/>
              <w:t xml:space="preserve"/>
              <w:br/>
              <w:t xml:space="preserve">The methodology has been chosen and applied in all previously submitted ASRs, as for projects of this kind the financial progress never really corresponds to technical progress.</w:t>
              <w:br/>
              <w:t xml:space="preserve"/>
              <w:br/>
              <w:t xml:space="preserve">The Action´s cumulated technical progress including the planned technical progress is enclosed in Annex 2 and Annex 9.</w:t>
              <w:br/>
              <w:t xml:space="preserve"/>
            </w:r>
          </w:p>
        </w:tc>
      </w:tr>
    </w:tbl>
    <w:p w:rsidR="009E5213" w:rsidRDefault="009E5213"/>
    <w:p w:rsidR="00225F87" w:rsidRDefault="00225F87"/>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225F87" w:rsidRPr="00187B31" w:rsidTr="006530A0">
        <w:trPr>
          <w:trHeight w:val="264"/>
          <w:jc w:val="center"/>
        </w:trPr>
        <w:tc>
          <w:tcPr>
            <w:tcW w:type="dxa" w:w="9594"/>
            <w:shd w:color="auto" w:fill="99CCFF" w:val="clear"/>
            <w:tcMar>
              <w:top w:type="dxa" w:w="85"/>
              <w:bottom w:type="dxa" w:w="85"/>
            </w:tcMar>
          </w:tcPr>
          <w:p w:rsidP="00183D92" w:rsidR="00225F87" w:rsidRDefault="00225F87" w:rsidRPr="002B0D3F">
            <w:pPr>
              <w:keepNext/>
              <w:spacing w:after="120" w:before="120"/>
              <w:ind w:left="113"/>
              <w:rPr>
                <w:rFonts w:ascii="Verdana" w:hAnsi="Verdana"/>
                <w:b/>
                <w:spacing w:val="-10"/>
                <w:szCs w:val="24"/>
              </w:rPr>
            </w:pPr>
            <w:r w:rsidRPr="00187B31">
              <w:rPr>
                <w:rFonts w:ascii="Verdana" w:hAnsi="Verdana"/>
                <w:b/>
              </w:rPr>
              <w:br w:type="page"/>
            </w:r>
            <w:r w:rsidRPr="002B0D3F">
              <w:rPr>
                <w:rFonts w:ascii="Verdana" w:hAnsi="Verdana"/>
                <w:b/>
                <w:spacing w:val="-10"/>
                <w:szCs w:val="24"/>
              </w:rPr>
              <w:t xml:space="preserve">Overview of progress since </w:t>
            </w:r>
            <w:r>
              <w:rPr>
                <w:rFonts w:ascii="Verdana" w:hAnsi="Verdana"/>
                <w:b/>
                <w:spacing w:val="-10"/>
                <w:szCs w:val="24"/>
              </w:rPr>
              <w:t xml:space="preserve">the </w:t>
            </w:r>
            <w:r w:rsidRPr="002B0D3F">
              <w:rPr>
                <w:rFonts w:ascii="Verdana" w:hAnsi="Verdana"/>
                <w:b/>
                <w:spacing w:val="-10"/>
                <w:szCs w:val="24"/>
              </w:rPr>
              <w:t>start of the Action</w:t>
            </w:r>
          </w:p>
          <w:p w:rsidP="00183D92" w:rsidR="00225F87" w:rsidRDefault="00462537" w:rsidRPr="00187B31">
            <w:pPr>
              <w:keepNext/>
              <w:spacing w:after="120" w:before="120"/>
              <w:ind w:left="113"/>
              <w:rPr>
                <w:rFonts w:ascii="Verdana" w:hAnsi="Verdana"/>
                <w:b/>
                <w:spacing w:val="-10"/>
              </w:rPr>
            </w:pPr>
            <w:r w:rsidRPr="00462537">
              <w:rPr>
                <w:rFonts w:ascii="Verdana" w:hAnsi="Verdana"/>
                <w:i/>
                <w:spacing w:val="-10"/>
              </w:rPr>
              <w:t>The overview should include a description of the actual progress of the Action and per activity since the start of the Action until at the end of the previous reporting period, referring to the main issues, milestones and events that affected the progress.</w:t>
            </w:r>
          </w:p>
        </w:tc>
      </w:tr>
      <w:tr w:rsidR="00225F87" w:rsidRPr="00187B31" w:rsidTr="006530A0">
        <w:trPr>
          <w:trHeight w:val="3031"/>
          <w:jc w:val="center"/>
        </w:trPr>
        <w:tc>
          <w:tcPr>
            <w:tcW w:type="dxa" w:w="9594"/>
            <w:tcMar>
              <w:top w:type="dxa" w:w="85"/>
              <w:bottom w:type="dxa" w:w="85"/>
            </w:tcMar>
          </w:tcPr>
          <w:p w:rsidP="00887EE8" w:rsidR="00225F87" w:rsidRDefault="00705BBB" w:rsidRPr="00187B31">
            <w:pPr>
              <w:spacing w:after="120" w:before="120"/>
              <w:ind w:left="113"/>
              <w:rPr>
                <w:rFonts w:ascii="Verdana" w:hAnsi="Verdana"/>
                <w:spacing w:val="-10"/>
              </w:rPr>
            </w:pPr>
            <w:r>
              <w:rPr>
                <w:rFonts w:ascii="Verdana" w:hAnsi="Verdana"/>
                <w:noProof/>
                <w:spacing w:val="-10"/>
              </w:rPr>
              <w:t>Activity 1 Preparation of project documentation</w:t>
              <w:br/>
              <w:t xml:space="preserve">Milestone 1 – EIA consent decision issued (03/05/2018)</w:t>
              <w:br/>
              <w:t xml:space="preserve">Following the JASPERS recommendations as well as the guidance of the Managing Authority – Ministry of Transport and Construction of the Slovak Republic (hereinafter referred to as "MoTC SR"), the full EIA process for the 1st stage was ensured to the extent of the Notice of change in the proposed activity pursuant to Act 24/2006 (see Annex 3.1 and Annex 3.2).</w:t>
              <w:br/>
              <w:t xml:space="preserve">Supplement No. 1 to the Contract No. 10/16/1601-1 dated 27/10/2016 (hereinafter referred to as "Supplement No. 1"), with effect from 29/11/2017, was signed on 23/11/2017 on the basis of which the EIA documentation - notification of change of the proposed activity was prepared and on 15/12/2017 delivered to Railways of the Slovak Republic (hereinafter referred to as “ŽSR”) (see Annex 3.3).</w:t>
              <w:br/>
              <w:t xml:space="preserve">The EIA consent decision was issued on 03/05/2018 and came into force on 04/06/2018 (see Annex 3.4 and Annex 3.5).</w:t>
              <w:br/>
              <w:t xml:space="preserve"/>
              <w:br/>
              <w:t xml:space="preserve">Milestone 2 – Documentation for construction execution for Svit underpass (15/11/2016)</w:t>
              <w:br/>
              <w:t xml:space="preserve">Documentation for construction execution for Svit underpass was delivered to ŽSR on 15/11/2016, i.e. ahead of the originally scheduled date that was 31/12/2016 (see Annex 4).</w:t>
              <w:br/>
              <w:t xml:space="preserve">All necessary building permits have been already issued.</w:t>
              <w:br/>
              <w:t xml:space="preserve"/>
              <w:br/>
              <w:t xml:space="preserve">Milestone 3 – Documentation for selection of a contractor (01/12/2016)</w:t>
              <w:br/>
              <w:t xml:space="preserve">Documentation for selection of a contractor was delivered to ŽSR on 01/12/2016, i.e. ahead of the originally scheduled date that was 31/12/2016 (see Annex 5).</w:t>
              <w:br/>
              <w:t xml:space="preserve"/>
              <w:br/>
              <w:t xml:space="preserve">Activity 2 Engineering/construction works supervision</w:t>
              <w:br/>
              <w:t xml:space="preserve">The delay in initiating the activity is due to a delay of Milestones 15 and 16 following the shift of Milestones 17 and 18.</w:t>
              <w:br/>
              <w:t xml:space="preserve">Milestone 4 – Start of Construction works supervision (26/08/2020)</w:t>
              <w:br/>
              <w:t xml:space="preserve">After signing the Contract on Provision of Services, the provider of services started the works in accordance with the Contract on Provision of Services and the Grant Agreement. (The notification by beneficiary is enclosed in Annex 11). </w:t>
              <w:br/>
              <w:t xml:space="preserve"/>
              <w:br/>
              <w:t xml:space="preserve">Milestone 5 – Interim Supervision report (31/12/2020)</w:t>
              <w:br/>
              <w:t xml:space="preserve">The construction supervisor submits to ŽSR an activity report for each quarter of the year. The Interim Supervision reports for the third and fourth quarters are enclosed in Annex 12.1 and Annex 12.2. </w:t>
              <w:br/>
              <w:t xml:space="preserve">The construction supervision services that were performed from the signing of the contract (30/07/2020) until 31/12/2020 are the following:</w:t>
              <w:br/>
              <w:t xml:space="preserve">-</w:t>
              <w:tab/>
              <w:t xml:space="preserve">check of existing project documentation</w:t>
              <w:br/>
              <w:t xml:space="preserve">-</w:t>
              <w:tab/>
              <w:t xml:space="preserve">checking the management and registration of construction logs</w:t>
              <w:br/>
              <w:t xml:space="preserve">-</w:t>
              <w:tab/>
              <w:t xml:space="preserve">taking over work before covering</w:t>
              <w:br/>
              <w:t xml:space="preserve">-</w:t>
              <w:tab/>
              <w:t xml:space="preserve">participation in field control measurements</w:t>
              <w:br/>
              <w:t xml:space="preserve">-</w:t>
              <w:tab/>
              <w:t xml:space="preserve">quality control of performed works, documentation of construction quality</w:t>
              <w:br/>
              <w:t xml:space="preserve">-</w:t>
              <w:tab/>
              <w:t xml:space="preserve">checking and ensuring compliance with the conditions of building permits, construction schedules, valid standards</w:t>
              <w:br/>
              <w:t xml:space="preserve">-</w:t>
              <w:tab/>
              <w:t xml:space="preserve">control of quantities, type and quality of work performed, their compliance with design documentation</w:t>
              <w:br/>
              <w:t xml:space="preserve">-</w:t>
              <w:tab/>
              <w:t xml:space="preserve">checking the factual accuracy of the inventories of work performed by the contractor, compliance with the valued bill of quantity, control of the contractor's invoicing</w:t>
              <w:br/>
              <w:t xml:space="preserve">-</w:t>
              <w:tab/>
              <w:t xml:space="preserve">cooperation with author's supervision, control and completion of design documentation</w:t>
              <w:br/>
              <w:t xml:space="preserve">-</w:t>
              <w:tab/>
              <w:t xml:space="preserve">preparation of documents for change proceedings and change sheets</w:t>
              <w:br/>
              <w:t xml:space="preserve">-</w:t>
              <w:tab/>
              <w:t xml:space="preserve">checking the correctness of the valuation and the justification for performing additional work</w:t>
              <w:br/>
              <w:t xml:space="preserve">-</w:t>
              <w:tab/>
              <w:t xml:space="preserve">operational inspections of the construction</w:t>
              <w:br/>
              <w:t xml:space="preserve">-</w:t>
              <w:tab/>
              <w:t xml:space="preserve">monitoring of agreed deadlines</w:t>
              <w:br/>
              <w:t xml:space="preserve">-</w:t>
              <w:tab/>
              <w:t xml:space="preserve">ensuring the reporting of archaeological finds</w:t>
              <w:br/>
              <w:t xml:space="preserve">-</w:t>
              <w:tab/>
              <w:t xml:space="preserve">processing of required reports</w:t>
              <w:br/>
              <w:t xml:space="preserve">-</w:t>
              <w:tab/>
              <w:t xml:space="preserve">performing the activities of the health and safety coordinator</w:t>
              <w:br/>
              <w:t xml:space="preserve">-</w:t>
              <w:tab/>
              <w:t xml:space="preserve">inspection and registration of documents that the contractor hands over to the customer during construction</w:t>
              <w:br/>
              <w:t xml:space="preserve">-</w:t>
              <w:tab/>
              <w:t xml:space="preserve">independent and fair decision-making</w:t>
              <w:br/>
              <w:t xml:space="preserve"/>
              <w:br/>
              <w:t xml:space="preserve">Milestone 6 – Interim Supervision reports for the third and fourth quarters are enclosed in Annex 12.1 and Annex 12.2.</w:t>
              <w:br/>
              <w:t xml:space="preserve">The virification of fulfillment is enclosed in Annex 15.</w:t>
              <w:br/>
              <w:t xml:space="preserve"/>
              <w:br/>
              <w:t xml:space="preserve">Activity 3 Modernisation and construction of the railway line and equipment</w:t>
              <w:br/>
              <w:t xml:space="preserve">Modernisation and construction of the railway line and equipment </w:t>
              <w:br/>
              <w:t xml:space="preserve">There where published two amendments - Amendment No. 1 (26/10/2021) https://www.crz.gov.sk/6002283-sk/1/ and Amendment No. 2 (25/03/2022) https://www.crz.gov.sk/6290485-sk/2/ </w:t>
              <w:br/>
              <w:t xml:space="preserve"/>
              <w:br/>
              <w:t xml:space="preserve">The delay in initiating the activity is due to a delay of Milestones 17 and 18.</w:t>
              <w:br/>
              <w:t xml:space="preserve">Milestones 8 – Start of preliminary construction works (07/07/2020)</w:t>
              <w:br/>
              <w:t xml:space="preserve"/>
              <w:br/>
              <w:t xml:space="preserve">After signing the Contract for construction Works, the contractor started the construction works in accordance with the Contract for construction works and the Grant Agreement.</w:t>
              <w:br/>
              <w:t xml:space="preserve">The construction works started on 07/07/2020 by the handover and takeover of the construction site. The minutes of the site handover are enclosed in Annex 13.</w:t>
              <w:br/>
              <w:t xml:space="preserve"/>
              <w:br/>
              <w:t xml:space="preserve">The Contractor submitted to ŽSR the following main documents in accordance with the contract for works:</w:t>
              <w:br/>
              <w:t xml:space="preserve">- insurance contracts</w:t>
              <w:br/>
              <w:t xml:space="preserve">- list of experts for individual fields</w:t>
              <w:br/>
              <w:t xml:space="preserve">- list of subcontractors</w:t>
              <w:br/>
              <w:t xml:space="preserve">- list of working machines</w:t>
              <w:br/>
              <w:t xml:space="preserve">- detailed work schedule covering the implementation phase and the financial plan</w:t>
              <w:br/>
              <w:t xml:space="preserve"/>
              <w:br/>
              <w:t xml:space="preserve">Milestones 9 – Start of construction works (07/07/2020)</w:t>
              <w:br/>
              <w:t xml:space="preserve">The construction works started on 07/07/2020 by the handover and takeover of the construction site (Annex 13).</w:t>
              <w:br/>
              <w:t xml:space="preserve">Until 31/12/2020, the following activities were performed within the individual Completed Construction Parts (hereinafter referred to as “CPC”):</w:t>
              <w:br/>
              <w:t xml:space="preserve"/>
              <w:br/>
              <w:t xml:space="preserve">Milestones 10 – Completion of works on CPC 403 Svit – Lučivná (Štrba):</w:t>
              <w:br/>
              <w:t xml:space="preserve">-</w:t>
              <w:tab/>
              <w:t xml:space="preserve">cutouts</w:t>
              <w:br/>
              <w:t xml:space="preserve">-</w:t>
              <w:tab/>
              <w:t xml:space="preserve">laying out engineering networks</w:t>
              <w:br/>
              <w:t xml:space="preserve">-</w:t>
              <w:tab/>
              <w:t xml:space="preserve">implementation of relocation of engineering networks</w:t>
              <w:br/>
              <w:t xml:space="preserve">-</w:t>
              <w:tab/>
              <w:t xml:space="preserve">establishment of embankment of railway relocation </w:t>
              <w:br/>
              <w:t xml:space="preserve">-</w:t>
              <w:tab/>
              <w:t xml:space="preserve">installation (solidification) of prefabricated bridge (SO 403-33-03) </w:t>
              <w:br/>
              <w:t xml:space="preserve">-</w:t>
              <w:tab/>
              <w:t xml:space="preserve">deep pile foundation of the bridge (SO 403-33-02)</w:t>
              <w:br/>
              <w:t xml:space="preserve">-</w:t>
              <w:tab/>
              <w:t xml:space="preserve">realization of culverts of the new body of the relocations of railway line (SO 403-32-11, SO 403-32-12)  </w:t>
              <w:br/>
              <w:t xml:space="preserve">-</w:t>
              <w:tab/>
              <w:t xml:space="preserve">modification of existing Slovak Telecom cables</w:t>
              <w:br/>
              <w:t xml:space="preserve">-</w:t>
              <w:tab/>
              <w:t xml:space="preserve">changing the method of sheeting, unbrearable subsiol </w:t>
              <w:br/>
              <w:t xml:space="preserve">-</w:t>
              <w:tab/>
              <w:t xml:space="preserve">modification of existik Slovak Telekom cables</w:t>
              <w:br/>
              <w:t xml:space="preserve">-</w:t>
              <w:tab/>
              <w:t xml:space="preserve">change of high voltage distribution relocation</w:t>
              <w:br/>
              <w:t xml:space="preserve">-</w:t>
              <w:tab/>
              <w:t xml:space="preserve">installation of mechanical protection</w:t>
              <w:br/>
              <w:t xml:space="preserve">-</w:t>
              <w:tab/>
              <w:t xml:space="preserve">pumping of groundwatter</w:t>
              <w:br/>
              <w:t xml:space="preserve">-</w:t>
              <w:tab/>
              <w:t xml:space="preserve">pipe insulation</w:t>
              <w:br/>
              <w:t xml:space="preserve">-</w:t>
              <w:tab/>
              <w:t xml:space="preserve">modification of the connecton of the underpass to the dispatch building and modification of the fance of the Poprad depo </w:t>
              <w:br/>
              <w:t xml:space="preserve">-</w:t>
              <w:tab/>
              <w:t xml:space="preserve"> railway singalling</w:t>
              <w:br/>
              <w:t xml:space="preserve">-</w:t>
              <w:tab/>
              <w:t xml:space="preserve">Local cabling</w:t>
              <w:br/>
              <w:t xml:space="preserve">-</w:t>
              <w:tab/>
              <w:t xml:space="preserve">Mobile (traction) converter Lučivná station</w:t>
              <w:br/>
              <w:t xml:space="preserve">-</w:t>
              <w:tab/>
              <w:t xml:space="preserve">LV, HV and TS connection</w:t>
              <w:br/>
              <w:t xml:space="preserve">-</w:t>
              <w:tab/>
              <w:t xml:space="preserve">Laying of telecommunication cabling (T-com)</w:t>
              <w:br/>
              <w:t xml:space="preserve"/>
              <w:br/>
              <w:t xml:space="preserve">Milestones 11 – Completion of works on CPC 401 Poprad – Svit:</w:t>
              <w:br/>
              <w:t xml:space="preserve">-</w:t>
              <w:tab/>
              <w:t xml:space="preserve">cutouts</w:t>
              <w:br/>
              <w:t xml:space="preserve">-</w:t>
              <w:tab/>
              <w:t xml:space="preserve">laying out engineering networks</w:t>
              <w:br/>
              <w:t xml:space="preserve">-</w:t>
              <w:tab/>
              <w:t xml:space="preserve">implementation of relocations of engineering networks</w:t>
              <w:br/>
              <w:t xml:space="preserve">-</w:t>
              <w:tab/>
              <w:t xml:space="preserve">part of the underpass under track no. 1 on Teplická street (including the relevant underpass road)</w:t>
              <w:br/>
              <w:t xml:space="preserve">-</w:t>
              <w:tab/>
              <w:t xml:space="preserve">railway superstructure, railway substructure, cable protection route, contact line system and train control system for track no. 1</w:t>
              <w:br/>
              <w:t xml:space="preserve">-</w:t>
              <w:tab/>
              <w:t xml:space="preserve">public underpass (connection of Teplicka Street to the road)</w:t>
              <w:br/>
              <w:t xml:space="preserve">-</w:t>
              <w:tab/>
              <w:t xml:space="preserve">railway signalling</w:t>
              <w:br/>
              <w:t xml:space="preserve">-</w:t>
              <w:tab/>
              <w:t xml:space="preserve">cabling (construction of optotubes, optical cable, local cabling, long-distance and track cable replacements)</w:t>
              <w:br/>
              <w:t xml:space="preserve"/>
              <w:br/>
              <w:t xml:space="preserve">Milestones 12 – Completion of works on CPC 402 Svit station:</w:t>
              <w:br/>
              <w:t xml:space="preserve">-</w:t>
              <w:tab/>
              <w:t xml:space="preserve">cutouts</w:t>
              <w:br/>
              <w:t xml:space="preserve">-</w:t>
              <w:tab/>
              <w:t xml:space="preserve">laying out engineering networks</w:t>
              <w:br/>
              <w:t xml:space="preserve">-</w:t>
              <w:tab/>
              <w:t xml:space="preserve">implementation of relocation of engineering networks</w:t>
              <w:br/>
              <w:t xml:space="preserve">-</w:t>
              <w:tab/>
              <w:t xml:space="preserve">railway superstructure, railway substructure, cable protection route, contact line system and train control system for track no. 1</w:t>
              <w:br/>
              <w:t xml:space="preserve">-</w:t>
              <w:tab/>
              <w:t xml:space="preserve">a part of the bridge (SO 402-33-01) under track no. 1</w:t>
              <w:br/>
              <w:t xml:space="preserve">-</w:t>
              <w:tab/>
              <w:t xml:space="preserve">construction works of the Svit station (the building was included among the national cultural monuments</w:t>
              <w:br/>
              <w:t xml:space="preserve">-</w:t>
              <w:tab/>
              <w:t xml:space="preserve">construction works of the Svit – Štrba inter – station section </w:t>
              <w:br/>
              <w:t xml:space="preserve">-</w:t>
              <w:tab/>
              <w:t xml:space="preserve">Electronic gate</w:t>
              <w:br/>
              <w:t xml:space="preserve">-</w:t>
              <w:tab/>
              <w:t xml:space="preserve">Relays of (announcement) cables (distance and track cable relays)</w:t>
              <w:br/>
              <w:t xml:space="preserve">-</w:t>
              <w:tab/>
              <w:t xml:space="preserve">construction of optical fiber optic cable</w:t>
              <w:br/>
              <w:t xml:space="preserve">-</w:t>
              <w:tab/>
              <w:t xml:space="preserve">layout connector, spare source of electricity, transformer station 22/04 kV, electric fire signaling</w:t>
              <w:br/>
              <w:t xml:space="preserve">-</w:t>
              <w:tab/>
              <w:t xml:space="preserve">railway top, railway bottom, platforms, cable protector</w:t>
              <w:br/>
              <w:t xml:space="preserve">-</w:t>
              <w:tab/>
              <w:t xml:space="preserve">new railway bridge - underpass for the public</w:t>
              <w:br/>
              <w:t xml:space="preserve">-</w:t>
              <w:tab/>
              <w:t xml:space="preserve">traction line - built for track no. 1 and track no. 2 cable protectors, HV, LV 6 kV switchgear, gas pipeline switchgear, water main switchgear</w:t>
              <w:br/>
              <w:t xml:space="preserve"/>
              <w:br/>
              <w:t xml:space="preserve">Activity 4 Project management </w:t>
              <w:br/>
              <w:t xml:space="preserve">Milestone 15 – Public procurement procedure for construction works supervision published (10/09/2018)</w:t>
              <w:br/>
              <w:t xml:space="preserve">Public procurement for construction works supervision was not published in 2017 as the construction works supervision activity for this construction was included in the subject of "Construction works supervision of EU co-financed constructions" (the framework contract signed on 07/2017) and, therefore, no separate public procurement (hereinafter referred to as “PP”) had to be published (public tender).</w:t>
              <w:br/>
              <w:t xml:space="preserve">The contract was awarded within the re-opening of the tender under a concluded framework agreement by sending the call for tenders on 10/09/2018 to all 9 participants of the Framework Agreement.  </w:t>
              <w:br/>
              <w:t xml:space="preserve"/>
              <w:br/>
              <w:t xml:space="preserve">Milestone 16 – Contract signed for construction works supervision (30/07/2020)</w:t>
              <w:br/>
              <w:t xml:space="preserve">The following steps (activities) were carried out in the PP process for construction works supervision until the signing of the contract:</w:t>
              <w:br/>
              <w:t xml:space="preserve">05/10/2018 –  submission of 8 tenders; evaluation of tenders in formal terms (content of tenders and validity of documents)</w:t>
              <w:br/>
              <w:t xml:space="preserve">15/05/2019 – extension of the deadline for tenders until 31/12/2019 with the agreement of the tenderers </w:t>
              <w:br/>
              <w:t xml:space="preserve">12/08/2019 – sending an invitation to participate in an electronic auction</w:t>
              <w:br/>
              <w:t xml:space="preserve">16/08/2019 -  the electronic auction took place; after the end of the electronic auction there was a commission meeting – some bidders had to be asked to explain the exceptionally low bid</w:t>
              <w:br/>
              <w:t xml:space="preserve">30/09/2019 – the commission accepted all explanations and terminated its activities by signing the minutes of the evaluation of tenders </w:t>
              <w:br/>
              <w:t xml:space="preserve">30/09/2019 – sending information on the outcome of the evaluation of tenders to all bidders whose tenders were evaluated (no bidder was excluded)</w:t>
              <w:br/>
              <w:t xml:space="preserve">15/10/2019 – sending a call for submission of the documents for cooperation before signing the contract to the successful tenderer </w:t>
              <w:br/>
              <w:t xml:space="preserve">04/11/2019 – the successful tenderer submitted the documents</w:t>
              <w:br/>
              <w:t xml:space="preserve">07/11/2019 - assessment of the submitted documents, the tenderer was asked to add one of the required documents </w:t>
              <w:br/>
              <w:t xml:space="preserve">27/11/2019 - assessment of the submitted document (all submitted documents were in order, therefore it was possible to invite the successful tenderer to submit a draft contract)</w:t>
              <w:br/>
              <w:t xml:space="preserve">27/11/2019 - sending a call for contract proposal to the successful tenderer </w:t>
              <w:br/>
              <w:t xml:space="preserve">09/12/2019 – submission of draft contract</w:t>
              <w:br/>
              <w:t xml:space="preserve">16/12/2019 – extension of the deadline for tenders until 31/03/2020 with the agreement of the successful tenderer</w:t>
              <w:br/>
              <w:t xml:space="preserve">The evaluation of tenders on the basis of electronic auction continued once both the objections proceeding and the appeal procedure in the PP for construction works were resolved. </w:t>
              <w:br/>
              <w:t xml:space="preserve">07/01/2020 – the ŽSR submitted the PP documentation to the MoTC SR for inspection before signing the contract </w:t>
              <w:br/>
              <w:t xml:space="preserve">16/03/2020 - extension of the deadline for tenders until 30/06/2020 with the agreement of the successful tenderer</w:t>
              <w:br/>
              <w:t xml:space="preserve">10/07/2020 - delivered consent of MoTC SR to ŽSR (inspection was completed) </w:t>
              <w:br/>
              <w:t xml:space="preserve">30/07/2020 - signature of the contract</w:t>
              <w:br/>
              <w:t xml:space="preserve">The Award Notice has not been published in Official Journal of the EU (hereinafter referred to as “OJ”), because when the competition is reopened, the Award Notice is to be published only in the national journal - Public Procurement Journal (hereinafter referred to as “PPJ”).</w:t>
              <w:br/>
              <w:t xml:space="preserve">The Award Notice was published in PPJ  on 03/08/2020: </w:t>
              <w:br/>
              <w:t xml:space="preserve">https://www.uvo.gov.sk/vestnik/oznamenie/detail/459650</w:t>
              <w:br/>
              <w:t xml:space="preserve"/>
              <w:br/>
              <w:t xml:space="preserve">Milestone 17 – Public procurement procedure for construction works published (30/06/2017)</w:t>
              <w:br/>
              <w:t xml:space="preserve">The delay was due to the fact that in 01/2017 the changes in compliance with the amendment to the Public Procurement Act No. 315/2016 Coll. (hereinafter referred to as “PPA”) were incorporated into the draft of the tender documents following the transitional provisions for amendments effective from 01/02/2017.</w:t>
              <w:br/>
              <w:t xml:space="preserve">A request was made to amend the design documentation in order to exclude the GSM-R system from the original design documentation.</w:t>
              <w:br/>
              <w:t xml:space="preserve">Also, the use of the reserve (unpredictable expenses due to changes in additional works that occur during the execution of the construction) in connection with the change of the contract under the PPA was being solved. </w:t>
              <w:br/>
              <w:t xml:space="preserve">30/06/2017 – PP was published in the OJ </w:t>
              <w:br/>
              <w:t xml:space="preserve"/>
              <w:br/>
              <w:t xml:space="preserve">Milestone 18 – Contract signed for construction works (11/06/2020)</w:t>
              <w:br/>
              <w:t xml:space="preserve">Contract for construction works was signed on 11/06/2020.</w:t>
              <w:br/>
              <w:t xml:space="preserve">The Award Notice was published:</w:t>
              <w:br/>
              <w:t xml:space="preserve">-</w:t>
              <w:tab/>
              <w:t xml:space="preserve">on 24/06/2020 in OJ: https://ted.europa.eu/udl?uri=TED:NOTICE:291067-2020:TEXT:SK:HTML</w:t>
              <w:br/>
              <w:t xml:space="preserve">-</w:t>
              <w:tab/>
              <w:t xml:space="preserve">on 25/06/2020 in PPJ: https://www.uvo.gov.sk/vestnik/oznamenie/detail/452905</w:t>
              <w:br/>
              <w:t xml:space="preserve"/>
              <w:br/>
              <w:t xml:space="preserve">The following actions were performed before the contract was signed:</w:t>
              <w:br/>
              <w:t xml:space="preserve"/>
              <w:br/>
              <w:t xml:space="preserve">18/01/2018 – evaluation of the "Others" section completed </w:t>
              <w:br/>
              <w:t xml:space="preserve">05/02/2018 – Public Procurement Office (hereinafter referred to as “PPO”) started an objections proceeding against the conditions (participation conditions and documents required before signing the contract) stated in the tender documents (The objection was made by the bidder in the time before the deadline for submitting tenders.)</w:t>
              <w:br/>
              <w:t xml:space="preserve">16/02/2018 – the ŽSR delivered a statement on the objections and the complete PP documentation to PPO </w:t>
              <w:br/>
              <w:t xml:space="preserve">07/03/2018 – PPO suspended the objections proceeding in order to obtain an expert opinion (it is a legal right to be used in cases where the PPO recognizes that, without an expert opinion, it is not possible to make a competent decision on the objections). As a result, the PPO rejected the objections.</w:t>
              <w:br/>
              <w:t xml:space="preserve">17/04/2018 – PPO decision (rejection of objections)</w:t>
              <w:br/>
              <w:t xml:space="preserve">30/04/2018 – the tenderer who lodged the objections submitted an appeal against the PPO decision to PPO Council</w:t>
              <w:br/>
              <w:t xml:space="preserve">09/07/2018 – appeal proceedings completed – PPO Council rejected the appeal and confirmed the PPO decision (rejection of objections to the conditions stated in the tender documents) </w:t>
              <w:br/>
              <w:t xml:space="preserve">01/08/2018 – continuation of PP process – the "Criteria" part was opened and the the evaluation process started</w:t>
              <w:br/>
              <w:t xml:space="preserve">18/09/2018 – evaluation of the "Criteria" part completed (the commission terminated the evaluation of the tenders and signed a tender evaluation note) </w:t>
              <w:br/>
              <w:t xml:space="preserve">19/09/2018 – 11/01/2019 – assessment of compliance with participation conditions of the tenderer who was in the first place in order (whereas the tenderer submitted the Single European Document as a preliminary replacement of the documents, it was necessary to ask for clarifications)</w:t>
              <w:br/>
              <w:t xml:space="preserve">11/01/2019 – completed assessment of compliance with participation conditions of the tenderer who was in the first place in order – the tenderer did not meet the participation conditions and was excluded </w:t>
              <w:br/>
              <w:t xml:space="preserve">18/01/2019 – the excluded tenderer received a notice of exclusion </w:t>
              <w:br/>
              <w:t xml:space="preserve">22/01/2019 – re-meeting of the evaluation commission – a new evaluation of the tenders was being carried out and a new order of tenderers was determined; it was no longer necessary to assess the fulfillment of the participation conditions of the first-ranking tenderer as he had already submitted the documents in his tender which were evaluated on 06/12/2017 (he did not use the single European document) – the commission ceased its activities by signing the minutes of the evaluation of tenders </w:t>
              <w:br/>
              <w:t xml:space="preserve">25/01/2019 – the tenderers were informed of the result of the tenders evaluation</w:t>
              <w:br/>
              <w:t xml:space="preserve">28/01/2019 - the excluded tenderer filed objections against exclusion</w:t>
              <w:br/>
              <w:t xml:space="preserve">05/02/2019 – initiation of the review procedure for actions of the inspected entity based on objections to exclusion </w:t>
              <w:br/>
              <w:t xml:space="preserve">04/03/2019 – PPO discontinued the review procedure for actions of the inspected entity based on objections and asked the ŽSR to complete the procurement documentation – completed on 13/03/2019</w:t>
              <w:br/>
              <w:t xml:space="preserve">12/04/2019 – PPO issued a decision rejecting the objections and confirmed that there had been legal grounds for excluding the tenderer</w:t>
              <w:br/>
              <w:t xml:space="preserve">25/04/2019 – the excluded tenderer filed an appeal against the PPO decision to the PPO Council – initiation of appeal procedure  </w:t>
              <w:br/>
              <w:t xml:space="preserve">29/05/2019 – the PPO invited the ŽSR to comment on the facts found in the appeal procedure – completed on 03/06/2019</w:t>
              <w:br/>
              <w:t xml:space="preserve">01/07/2019 – the ŽSR received the decision of the PPO Council – the objections were rejected and the original decision of the PPO was confirmed (Note: It is no longer possible to appeal against such a decision of the PPO Council. The excluded tenderer has the opportunity to sue the PPO Council for the decision issued, which is resolved by the local competent court.)</w:t>
              <w:br/>
              <w:t xml:space="preserve">03/07/2019 – the PP procedure continued and the ŽSR invited the first-ranked tenderer to provide cooperation before signing the contract; the tenderer submitted the documents on 17/07/2019, the submitted documents were in order, therefore, it was possible to invite the successful tenderer to submit a draft contract </w:t>
              <w:br/>
              <w:t xml:space="preserve">26/07/2019 – submission of draft contract</w:t>
              <w:br/>
              <w:t xml:space="preserve">29/07/2019 – the ŽSR submitted the PP documentation to the MoTC SR for inspection before signing the contract </w:t>
              <w:br/>
              <w:t xml:space="preserve">26/08/2019 – the ŽSR submitted the complete PP documentation to the PPO; initiation of review procedure for actions of the inspected entity prior to the conclusion of the contract </w:t>
              <w:br/>
              <w:t xml:space="preserve">04/10/2019 – PPO issued an interim measure suspending the review procedure of the inspected entity (ŽSR) until the decision of the PPO in the review procedure for actions of the inspected entity prior to the conclusion of the contract would come into force. </w:t>
              <w:br/>
              <w:t xml:space="preserve">28/10/2019 – delivery of the PPO decision to suspend the proceedings in order to obtain an expert opinion</w:t>
              <w:br/>
              <w:t xml:space="preserve">06/12/2019 – the ŽSR contacted the PPO by email asking for information on when the review procedure would be completed, but the PPO did not respond to the request (Until 31/12/2019, the PPO did not issue a decision in the review procedure for actions of the inspected entity prior to the conclusion of the contract and the suspension of proceedings was ongoing.)</w:t>
              <w:br/>
              <w:t xml:space="preserve">17/12/2019 – the ŽSR extended the deadline for the commitment to the tender until 31/03/2020 (the tenderers were asked to state whether their tender was still valid; the tenderers confirmed the commitment to the tender until 31/03/2020) </w:t>
              <w:br/>
              <w:t xml:space="preserve">15/01/2020 – ŽSR repeatedly asked the PPO by e-mail for information on when the review procedure would be completed, but the PPO did not respond to the request (the first request to PPO was sent on 06/12/2019) </w:t>
              <w:br/>
              <w:t xml:space="preserve">20/02/2020 – ŽSR asked the PPO to submit an opinion on the non-completion of the pre-contractual control and, at the same time, to terminate the control  </w:t>
              <w:br/>
              <w:t xml:space="preserve">24/02/2020 – ŽSR received the PPO opinion presenting the time schedule of the actions taken in the review procedure and stating that the review procedure would be completed as soon as possible after receiving the necessary expert opinion</w:t>
              <w:br/>
              <w:t xml:space="preserve">27/02/2020 – ŽSR received an invitation from the PPO to comment on facts ascertained in the review procedure for actions of the inspected entity prior to the conclusion of the contract, as the PPO identified a breach of the PPA in the evaluation of the successful tenderer's bid (requirements for the subject of the contract) that could affect the outcome of the PP </w:t>
              <w:br/>
              <w:t xml:space="preserve">05/03/2020 - ŽSR delivered a statement to the PPO with evidence proving the facts in the statement that the evaluation of the successful bid was in accordance with the PPA </w:t>
              <w:br/>
              <w:t xml:space="preserve">16/03/2020 - extension of the deadline for tenders until 30/06/2020 - requesting bidders to extend the validity of the bank guarantee (only three of seven bidders submitted a supplement to the bank guarantee)</w:t>
              <w:br/>
              <w:t xml:space="preserve">18/03/2020 - ŽSR received the decision of the PPO in which the ŽSR were ordered to remedy the unlawful situation and to annul the decision of the inspected entity about evaluation of the successful tenderer's bid and to re-evaluate the successful tenderer's bid (The PPO decision was also sent to the tenderers whose bids had been evaluated and to whom the information on the outcome of the evaluation of tenders had been sent. All candidates may lodge an appeal against the decision within 10 days from the date of delivery. These appeals are dealt with by the PPO Council.)</w:t>
              <w:br/>
              <w:t xml:space="preserve">27/04/2020 – PPO decision entered into force </w:t>
              <w:br/>
              <w:t xml:space="preserve">29/04/2020 – elimination of the illegal situation in accordance with the PPO decision and cancellation of the information on the result of the evaluation of tenders, which was sent to all tenderers whose tenders were evaluated</w:t>
              <w:br/>
              <w:t xml:space="preserve">06/05/2020 – re-meeting of the tender evaluation committee; the committee excluded tenderers who had not extended the bank guarantee for the tender and re-evaluated the tenders on the basis of the tender evaluation criterion and determined the new order of tenderers;</w:t>
              <w:br/>
              <w:t xml:space="preserve">in the case of the first-placed tenderer, it was not necessary to assess the fulfillment of the conditions for participation, as the tenderer submitted the documents in his tender, which were evaluated on 06/12/2017 (he did not use the single European document)</w:t>
              <w:br/>
              <w:t xml:space="preserve">06/05/2020 – the information on the result of the evaluation of tenders was sent to all tenderers who submitted tenders and were not excluded</w:t>
              <w:br/>
              <w:t xml:space="preserve">25/05/2020 – the PP process continued and ŽSR invited the first-ranked tenderer to provide co-operation before signing the contract; the tenderer submitted the documents on 05/06/2020 – as the documents submitted were in order, it was possible to invite the tenderer to submit a draft contract</w:t>
              <w:br/>
              <w:t xml:space="preserve">10/06/2020 – the successful tenderer submitted a draft contract</w:t>
              <w:br/>
              <w:t xml:space="preserve">29/05/2020 – sending of mandatory PP documentation to MoTC SR for inspection (part of documentation that "originated" after delivery of the PPO decision)</w:t>
              <w:br/>
              <w:t xml:space="preserve">10/06/2020 – delivered consent of MoTC SR - inspection completed </w:t>
              <w:br/>
              <w:t xml:space="preserve">11/06/2020 – signature of the contract</w:t>
              <w:br/>
              <w:t xml:space="preserve"/>
              <w:br/>
              <w:t xml:space="preserve">Milestone 19 – Public procurement procedure for publicity billboards published (19/06/2020)</w:t>
              <w:br/>
              <w:t xml:space="preserve">08/03/2018 – 21/05/2018 – preparation of documents for PP to be published; subsequently, there was an interruption of the preparation of the procurement notice due to the ongoing appeal procedure as well as the slower evaluation of the tenders in PP for the construction works</w:t>
              <w:br/>
              <w:t xml:space="preserve">Considering the date 31/12/2019, the interruption of PP preparation continued as the review procedure for actions of the inspected entity prior to the conclusion of the contract had not been completed yet. </w:t>
              <w:br/>
              <w:t xml:space="preserve">19/06/2020 – contract notice for temporary information billboards on the electronic marketplace </w:t>
              <w:br/>
              <w:t xml:space="preserve"/>
              <w:br/>
              <w:t xml:space="preserve">Milestone 20 – Contract signed for publicity billboards (24/06/2020)</w:t>
              <w:br/>
              <w:t xml:space="preserve">As there was no opening of the tender (Milestone 19), no activity was carried out in 2019.</w:t>
              <w:br/>
              <w:t xml:space="preserve">24/06/2020 – signing the contract in an automated way on the electronic marketplace</w:t>
              <w:br/>
              <w:t xml:space="preserve"/>
            </w:r>
          </w:p>
        </w:tc>
      </w:tr>
    </w:tbl>
    <w:p w:rsidR="000C4B70" w:rsidRDefault="000C4B70">
      <w:pPr>
        <w:spacing w:after="0" w:line="240" w:lineRule="auto"/>
      </w:pPr>
      <w:r>
        <w:br w:type="page"/>
      </w:r>
    </w:p>
    <w:p w:rsidP="00887EE8" w:rsidR="005E6BC3" w:rsidRDefault="005E6BC3">
      <w:pPr>
        <w:spacing w:after="120" w:before="120"/>
        <w:ind w:left="113"/>
        <w:rPr>
          <w:rFonts w:ascii="Verdana" w:hAnsi="Verdana"/>
          <w:b/>
          <w:spacing w:val="-10"/>
        </w:rPr>
        <w:sectPr w:rsidR="005E6BC3" w:rsidSect="00012B21">
          <w:headerReference r:id="rId9" w:type="default"/>
          <w:footerReference r:id="rId10" w:type="default"/>
          <w:pgSz w:h="16838" w:w="11906"/>
          <w:pgMar w:bottom="1440" w:footer="709" w:gutter="0" w:header="709" w:left="1440" w:right="1440" w:top="737"/>
          <w:cols w:space="708"/>
          <w:titlePg/>
          <w:docGrid w:linePitch="360"/>
        </w:sectPr>
      </w:pPr>
    </w:p>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14877"/>
      </w:tblGrid>
      <w:tr w:rsidR="000C4B70" w:rsidRPr="00187B31" w:rsidTr="000C4B70">
        <w:trPr>
          <w:trHeight w:val="408"/>
          <w:jc w:val="center"/>
        </w:trPr>
        <w:tc>
          <w:tcPr>
            <w:tcW w:type="dxa" w:w="9594"/>
            <w:shd w:color="auto" w:fill="99CCFF" w:val="clear"/>
          </w:tcPr>
          <w:p w:rsidP="00887EE8" w:rsidR="000C4B70" w:rsidRDefault="000C4B70" w:rsidRPr="00187B31">
            <w:pPr>
              <w:spacing w:after="120" w:before="120"/>
              <w:ind w:left="113"/>
              <w:rPr>
                <w:rFonts w:ascii="Verdana" w:hAnsi="Verdana"/>
                <w:b/>
                <w:spacing w:val="-10"/>
              </w:rPr>
            </w:pPr>
            <w:r w:rsidRPr="00187B31">
              <w:rPr>
                <w:rFonts w:ascii="Verdana" w:hAnsi="Verdana"/>
                <w:b/>
                <w:spacing w:val="-10"/>
              </w:rPr>
              <w:lastRenderedPageBreak/>
              <w:t>2</w:t>
            </w:r>
            <w:r>
              <w:rPr>
                <w:rFonts w:ascii="Verdana" w:hAnsi="Verdana"/>
                <w:b/>
                <w:spacing w:val="-10"/>
              </w:rPr>
              <w:t>.2</w:t>
            </w:r>
            <w:r w:rsidRPr="00187B31">
              <w:rPr>
                <w:rFonts w:ascii="Verdana" w:hAnsi="Verdana"/>
                <w:b/>
                <w:spacing w:val="-10"/>
              </w:rPr>
              <w:t xml:space="preserve">. </w:t>
            </w:r>
            <w:r>
              <w:rPr>
                <w:rFonts w:ascii="Verdana" w:hAnsi="Verdana"/>
                <w:b/>
                <w:spacing w:val="-10"/>
              </w:rPr>
              <w:t>Progress</w:t>
            </w:r>
            <w:r w:rsidRPr="00187B31">
              <w:rPr>
                <w:rFonts w:ascii="Verdana" w:hAnsi="Verdana"/>
                <w:b/>
                <w:spacing w:val="-10"/>
              </w:rPr>
              <w:t xml:space="preserve"> per activity </w:t>
            </w:r>
          </w:p>
        </w:tc>
      </w:tr>
    </w:tbl>
    <w:p w:rsidR="00F51FEF" w:rsidRDefault="00E32B6D">
      <w:r w:rsidR="00961318">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1</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Preparation of project documentation</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17/02/2016</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03/05/2018</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03/05/2018</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03/05/2018</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100.00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 The value of the technical progress of 100 % includes performed activities within milestones 1, 2 and 3, while the achieved technical progress of the milestones corresponds to the following percentage values: milestone 1 – 30 %, milestone 2 – 35 % and milestone 3 – 35 %.</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EIA consent decision issued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03/05/2018</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03/05/2018</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03/05/2018</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originally assumed date for issuing the EIA consent decision (31/03/2018) was not observed due to the decision of competent environmental authority to organise a meeting of the representatives of ŽSR and two civic associations in order to discuss possible objections in advance. The meetings with both associations, where representatives of the associations accepted the solutions to comments on the EIA process proposed by the ŽSR, were held on 18/04/2018. The results of these meetings have been reported to the competent environmental authority in the form of meeting minutes.</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Documentation for construction execution for Svit underpass</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15/11/2016</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15/11/2016</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15/11/2016</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documentation was delivered afore the planned completion date.</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3</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1- Documentation for selection of a contractor</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01/12/2016</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01/12/2016</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01/12/2016</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documentation was delivered afore the planned completion date.</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2</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Engineering/construction works supervision</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26/08/2020</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07/04/2023</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26/08/2020</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30/11/2023</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26/08/2020</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31/12/2023</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68.00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 The value of the technical progress of 68 % includes performed activities within milestones 4, 5 and 6, while the achieved technical progress of the milestones corresponds to the following percentage values: milestone 4 – 1 %, milestone 5 – 25 % and milestone 6 – 42 %.  </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4</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Start of construction works supervision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26/08/2020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26/08/2020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26/08/2020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Milestones 15 and 16.</w:t>
              <w:br/>
              <w:t xml:space="preserve"/>
              <w:br/>
              <w:t xml:space="preserve">The construction works supervision started after signing the contract for construction works supervision (see Annex 11).</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5</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Interim Supervision report</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 4.</w:t>
              <w:br/>
              <w:t xml:space="preserve"/>
              <w:br/>
              <w:t xml:space="preserve">The Interim Supervision reports for the third and fourth quarters are enclosed in Annex 12.1 and Annex 12.2.</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6</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Interim Supervision report</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31/12/2021</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verification of fulfilment (Annex 15)</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7</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2- Completion of construction works supervision</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07/04/2023</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31/12/2023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 10 and Milestone 12.</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3</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Modernisation and construction of the railway line and equipment</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07/07/2020</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31/08/2022</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07/07/2020</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31/05/2023</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07/07/2020</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30/11/2023</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69.00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this activity is based on the weighted percentage technical progress. The value of the technical progress of 69 % includes performed activities within milestones 8, 9, 10, 11 and 12, while the achieved technical progress of the milestones corresponds to the following percentage values: milestone 8 – 5 %, milestone 9 – 5 %, milestone 10 – 11 %, milestone 11 – 33 % and milestone 12 – 15 %.</w:t>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8</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Start of preliminary construction works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 18.</w:t>
              <w:br/>
              <w:t xml:space="preserve"/>
              <w:br/>
              <w:t xml:space="preserve">The preliminary construction works started on 07/07/2020 by the handover and takeover of the construction site.</w:t>
              <w:br/>
              <w:t xml:space="preserve">The minutes of the site handover are enclosed in Annex 13.</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9</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Start of construction works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07/07/2020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 18.</w:t>
              <w:br/>
              <w:t xml:space="preserve"/>
              <w:br/>
              <w:t xml:space="preserve">The construction works started on 07/07/2020 by the handover and takeover of the construction site.</w:t>
              <w:br/>
              <w:t xml:space="preserve">The minutes of the site handover are enclosed in Annex 13.</w:t>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10</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Completion of works on CPC 403 Svit - Lučivná (Štrba)</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07/08/2022</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20/05/2023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extension of the construction deadline is caused by the delay in the supply of material for the production of the steel structure of the bridges at CPC 402 and CPC 403 due to the absence of steel structures, concrete steel, copper, plastic (drainage pipes, protectors...), geogrids, concrete, waterproofing films, sheet piles, rolled sheet metal, telecommunications cables, electric cables as well as the extension of the construction period due to additional work (pre-drilling) on the foundation of the underpass in ŽST Svit.</w:t>
              <w:br/>
              <w:t xml:space="preserve"/>
              <w:br/>
              <w:t xml:space="preserve"/>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11</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Completion of works on CPC 401 Poprad - Svit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31/07/2021</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22/12/2022</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31/08/2023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COVID 19 and subsequently the war in Ukraine had a negative impact on the course of construction work in the form of work restrictions due to the quarantine of employees, a sharp increase in the prices of materials, while the Contractor states that there is currently an obvious global shortage of commodities such as steel, copper, plastic ( drainage pipes, protectors...), geogrids, concrete, waterproofing films, sheets, rolled sheet, telecommunication cables, electric cables and others, on world markets and significant restrictions on the movement of material.</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12</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Completion of works on CPC 402 Svit station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31/03/2022</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31/05/2023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main reason for the extension of the deadline for the completion of construction is the unavailability of material for the production of steel structures, concrete steel - related to the construction of 3 bridge structures in ŽST Svit, as well as the extension of the construction period caused by additional work (pre-drilling) on the foundation of the underpass in ŽST Svit. Another fact that significantly affected the concept of the original schedule is the decision of the Regional Monuments Office (hereinafter referred to as KPÚ) to classify the building as a protected monument. project documentation. Of course, these actions also required time, as the original construction plan was no longer applicable to the new conditions set in the decision of the KPÚ, while the favorable opinion of the KPÚ with all modifications of the PD for the building Žst. Svit was submitted only on January 24, 2023.</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13</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Completion of construction works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07/08/2022</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31/05/2023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 10 and Milestone 12.</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14</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3- "As-built" documentation completed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31/08/2022</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31/05/2023</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30/11/2023</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No</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shift of the deadline has occurred due to the shift of Milestone 10 and Milestone 12.</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r w:rsidR="00F51FEF">
        <w:t xml:space="preserve"> </w:t>
      </w:r>
    </w:p>
    <w:tbl>
      <w:tblPr>
        <w:tblW w:type="pct" w:w="5000"/>
        <w:jc w:val="center"/>
        <w:tblLayout w:type="fixed"/>
        <w:tblLook w:firstColumn="1" w:firstRow="1" w:lastColumn="0" w:lastRow="0" w:noHBand="0" w:noVBand="1" w:val="04A0"/>
      </w:tblPr>
      <w:tblGrid>
        <w:gridCol w:w="1241"/>
        <w:gridCol w:w="2673"/>
        <w:gridCol w:w="1468"/>
        <w:gridCol w:w="1469"/>
        <w:gridCol w:w="1468"/>
        <w:gridCol w:w="1468"/>
        <w:gridCol w:w="6"/>
        <w:gridCol w:w="1462"/>
        <w:gridCol w:w="1469"/>
        <w:gridCol w:w="2153"/>
      </w:tblGrid>
      <w:tr w:rsidR="000C4B70" w:rsidRPr="00DE090B" w:rsidTr="00275274">
        <w:trPr>
          <w:trHeight w:val="2460"/>
          <w:jc w:val="center"/>
        </w:trPr>
        <w:tc>
          <w:tcPr>
            <w:tcW w:type="dxa" w:w="1241"/>
            <w:tcBorders>
              <w:top w:color="auto" w:space="0" w:sz="12" w:val="single"/>
              <w:left w:color="auto" w:space="0" w:sz="12" w:val="single"/>
              <w:right w:color="auto" w:space="0" w:sz="8" w:val="single"/>
            </w:tcBorders>
            <w:shd w:color="auto" w:fill="auto" w:val="clear"/>
            <w:vAlign w:val="center"/>
            <w:hideMark/>
          </w:tcPr>
          <w:p w:rsidP="008607F6" w:rsidR="000C4B70" w:rsidRDefault="0020360A" w:rsidRPr="00DE090B">
            <w:pPr>
              <w:spacing w:after="0" w:line="240" w:lineRule="auto"/>
              <w:rPr>
                <w:rFonts w:ascii="Verdana" w:eastAsia="Times New Roman" w:hAnsi="Verdana"/>
                <w:b/>
                <w:bCs/>
                <w:sz w:val="18"/>
                <w:lang w:eastAsia="en-GB"/>
              </w:rPr>
            </w:pPr>
            <w:r>
              <w:rPr>
                <w:rFonts w:ascii="Verdana" w:eastAsia="Times New Roman" w:hAnsi="Verdana"/>
                <w:b/>
                <w:bCs/>
                <w:spacing w:val="-10"/>
                <w:sz w:val="18"/>
                <w:lang w:eastAsia="en-GB"/>
              </w:rPr>
              <w:t xml:space="preserve">Activity </w:t>
            </w:r>
            <w:r w:rsidR="008607F6">
              <w:rPr>
                <w:rFonts w:ascii="Verdana" w:eastAsia="Times New Roman" w:hAnsi="Verdana"/>
                <w:b/>
                <w:bCs/>
                <w:noProof/>
                <w:spacing w:val="-10"/>
                <w:sz w:val="18"/>
                <w:lang w:eastAsia="en-GB"/>
              </w:rPr>
              <w:t>4</w:t>
            </w:r>
          </w:p>
        </w:tc>
        <w:tc>
          <w:tcPr>
            <w:tcW w:type="dxa" w:w="2673"/>
            <w:tcBorders>
              <w:top w:color="auto" w:space="0" w:sz="12" w:val="single"/>
              <w:left w:color="auto" w:space="0" w:sz="8" w:val="single"/>
              <w:bottom w:color="000000" w:space="0" w:sz="12" w:val="single"/>
              <w:right w:color="auto"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Title</w:t>
            </w:r>
          </w:p>
        </w:tc>
        <w:tc>
          <w:tcPr>
            <w:tcW w:type="dxa" w:w="2937"/>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Start/End date</w:t>
            </w:r>
            <w:r w:rsidRPr="00DE090B">
              <w:rPr>
                <w:rFonts w:ascii="Verdana" w:eastAsia="Times New Roman" w:hAnsi="Verdana"/>
                <w:b/>
                <w:bCs/>
                <w:spacing w:val="-10"/>
                <w:sz w:val="18"/>
                <w:vertAlign w:val="superscript"/>
                <w:lang w:eastAsia="en-GB"/>
              </w:rPr>
              <w:t xml:space="preserve"> (GA)</w:t>
            </w:r>
            <w:r w:rsidRPr="00DE090B">
              <w:rPr>
                <w:rFonts w:ascii="Verdana" w:eastAsia="Times New Roman" w:hAnsi="Verdana"/>
                <w:b/>
                <w:bCs/>
                <w:spacing w:val="-10"/>
                <w:sz w:val="18"/>
                <w:lang w:eastAsia="en-GB"/>
              </w:rPr>
              <w:t xml:space="preserve"> </w:t>
            </w:r>
          </w:p>
        </w:tc>
        <w:tc>
          <w:tcPr>
            <w:tcW w:type="dxa" w:w="2936"/>
            <w:gridSpan w:val="2"/>
            <w:tcBorders>
              <w:top w:color="auto" w:space="0" w:sz="12" w:val="single"/>
              <w:left w:color="auto" w:space="0" w:sz="8" w:val="single"/>
              <w:bottom w:color="000000" w:space="0" w:sz="12" w:val="single"/>
              <w:right w:color="000000" w:space="0" w:sz="8" w:val="single"/>
            </w:tcBorders>
            <w:shd w:color="auto" w:fill="auto" w:val="clear"/>
            <w:vAlign w:val="center"/>
            <w:hideMark/>
          </w:tcPr>
          <w:p w:rsidP="00887EE8" w:rsidR="000C4B70" w:rsidRDefault="000C4B70"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Start/end dates </w:t>
            </w:r>
          </w:p>
        </w:tc>
        <w:tc>
          <w:tcPr>
            <w:tcW w:type="dxa" w:w="2937"/>
            <w:gridSpan w:val="3"/>
            <w:tcBorders>
              <w:top w:color="auto" w:space="0" w:sz="12" w:val="single"/>
              <w:left w:color="auto" w:space="0" w:sz="8" w:val="single"/>
              <w:bottom w:color="000000" w:space="0" w:sz="12" w:val="single"/>
              <w:right w:color="000000" w:space="0" w:sz="8" w:val="single"/>
            </w:tcBorders>
            <w:shd w:color="auto" w:fill="auto" w:val="clear"/>
            <w:vAlign w:val="center"/>
            <w:hideMark/>
          </w:tcPr>
          <w:p w:rsidP="004B31A7" w:rsidR="000C4B70" w:rsidRDefault="000C4B70"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Start/End date</w:t>
            </w:r>
          </w:p>
        </w:tc>
        <w:tc>
          <w:tcPr>
            <w:tcW w:type="dxa" w:w="2153"/>
            <w:tcBorders>
              <w:top w:color="auto" w:space="0" w:sz="12" w:val="single"/>
              <w:left w:color="auto" w:space="0" w:sz="8" w:val="single"/>
              <w:bottom w:color="000000" w:space="0" w:sz="12" w:val="single"/>
              <w:right w:color="auto" w:space="0" w:sz="8" w:val="single"/>
            </w:tcBorders>
            <w:shd w:color="auto" w:fill="auto" w:val="clear"/>
            <w:vAlign w:val="center"/>
            <w:hideMark/>
          </w:tcPr>
          <w:p w:rsidP="002E2FFD" w:rsidR="000C4B70" w:rsidRDefault="00462537"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Overall technical</w:t>
            </w:r>
            <w:r w:rsidR="00242468">
              <w:rPr>
                <w:rFonts w:ascii="Verdana" w:eastAsia="Times New Roman" w:hAnsi="Verdana"/>
                <w:b/>
                <w:bCs/>
                <w:spacing w:val="-10"/>
                <w:sz w:val="18"/>
                <w:lang w:eastAsia="en-GB"/>
              </w:rPr>
              <w:t xml:space="preserve"> p</w:t>
            </w:r>
            <w:r w:rsidR="000C4B70" w:rsidRPr="00DE090B">
              <w:rPr>
                <w:rFonts w:ascii="Verdana" w:eastAsia="Times New Roman" w:hAnsi="Verdana"/>
                <w:b/>
                <w:bCs/>
                <w:spacing w:val="-10"/>
                <w:sz w:val="18"/>
                <w:lang w:eastAsia="en-GB"/>
              </w:rPr>
              <w:t xml:space="preserve">rogress achieved </w:t>
            </w:r>
            <w:r w:rsidR="002E2FFD">
              <w:rPr>
                <w:rFonts w:ascii="Verdana" w:eastAsia="Times New Roman" w:hAnsi="Verdana"/>
                <w:b/>
                <w:bCs/>
                <w:spacing w:val="-10"/>
                <w:sz w:val="18"/>
                <w:lang w:eastAsia="en-GB"/>
              </w:rPr>
              <w:t>until</w:t>
            </w:r>
            <w:r w:rsidR="000C4B70" w:rsidRPr="00DE090B">
              <w:rPr>
                <w:rFonts w:ascii="Verdana" w:eastAsia="Times New Roman" w:hAnsi="Verdana"/>
                <w:b/>
                <w:bCs/>
                <w:spacing w:val="-10"/>
                <w:sz w:val="18"/>
                <w:lang w:eastAsia="en-GB"/>
              </w:rPr>
              <w:t xml:space="preserve"> the end of the </w:t>
            </w:r>
            <w:r w:rsidR="002E2FFD">
              <w:rPr>
                <w:rFonts w:ascii="Verdana" w:eastAsia="Times New Roman" w:hAnsi="Verdana"/>
                <w:b/>
                <w:bCs/>
                <w:spacing w:val="-10"/>
                <w:sz w:val="18"/>
                <w:lang w:eastAsia="en-GB"/>
              </w:rPr>
              <w:t xml:space="preserve">previous </w:t>
            </w:r>
            <w:r w:rsidR="000C4B70" w:rsidRPr="00DE090B">
              <w:rPr>
                <w:rFonts w:ascii="Verdana" w:eastAsia="Times New Roman" w:hAnsi="Verdana"/>
                <w:b/>
                <w:bCs/>
                <w:spacing w:val="-10"/>
                <w:sz w:val="18"/>
                <w:lang w:eastAsia="en-GB"/>
              </w:rPr>
              <w:t>reporting period (%)</w:t>
            </w:r>
            <w:r w:rsidR="000C4B70">
              <w:rPr>
                <w:rFonts w:ascii="Verdana" w:eastAsia="Times New Roman" w:hAnsi="Verdana"/>
                <w:b/>
                <w:bCs/>
                <w:spacing w:val="-10"/>
                <w:sz w:val="18"/>
                <w:lang w:eastAsia="en-GB"/>
              </w:rPr>
              <w:t>*</w:t>
            </w:r>
          </w:p>
        </w:tc>
      </w:tr>
      <w:tr w:rsidR="00893ED9" w:rsidRPr="00160F69" w:rsidTr="00275274">
        <w:trPr>
          <w:trHeight w:val="310"/>
          <w:jc w:val="center"/>
        </w:trPr>
        <w:tc>
          <w:tcPr>
            <w:tcW w:type="dxa" w:w="1241"/>
            <w:tcBorders>
              <w:top w:val="nil"/>
              <w:left w:color="auto" w:space="0" w:sz="12" w:val="single"/>
              <w:bottom w:color="auto" w:space="0" w:sz="12" w:val="single"/>
              <w:right w:color="auto" w:space="0" w:sz="8" w:val="single"/>
            </w:tcBorders>
            <w:shd w:color="auto" w:fill="auto" w:val="clear"/>
            <w:vAlign w:val="center"/>
            <w:hideMark/>
          </w:tcPr>
          <w:p w:rsidP="00887EE8" w:rsidR="00893ED9" w:rsidRDefault="00893ED9" w:rsidRPr="00160F69">
            <w:pPr>
              <w:spacing w:after="0" w:line="240" w:lineRule="auto"/>
              <w:jc w:val="both"/>
              <w:rPr>
                <w:rFonts w:ascii="Verdana" w:eastAsia="Times New Roman" w:hAnsi="Verdana"/>
                <w:b/>
                <w:bCs/>
                <w:lang w:eastAsia="en-GB"/>
              </w:rPr>
            </w:pPr>
            <w:r w:rsidRPr="00160F69">
              <w:rPr>
                <w:rFonts w:ascii="Verdana" w:eastAsia="Times New Roman" w:hAnsi="Verdana"/>
                <w:b/>
                <w:bCs/>
                <w:spacing w:val="-10"/>
                <w:lang w:eastAsia="en-GB"/>
              </w:rPr>
              <w:t> </w:t>
            </w:r>
          </w:p>
        </w:tc>
        <w:tc>
          <w:tcPr>
            <w:tcW w:type="dxa" w:w="2673"/>
            <w:tcBorders>
              <w:top w:val="nil"/>
              <w:left w:val="nil"/>
              <w:bottom w:color="auto" w:space="0" w:sz="12" w:val="single"/>
              <w:right w:color="auto" w:space="0" w:sz="8" w:val="single"/>
            </w:tcBorders>
            <w:shd w:color="000000" w:fill="FFFFFF" w:val="clear"/>
            <w:vAlign w:val="center"/>
            <w:hideMark/>
          </w:tcPr>
          <w:p w:rsidP="00893ED9" w:rsidR="00893ED9" w:rsidRDefault="00893ED9" w:rsidRPr="0049608D">
            <w:pPr>
              <w:spacing w:after="0" w:line="240" w:lineRule="auto"/>
              <w:rPr>
                <w:rFonts w:ascii="Verdana" w:eastAsia="Times New Roman" w:hAnsi="Verdana"/>
                <w:sz w:val="18"/>
                <w:szCs w:val="18"/>
                <w:lang w:eastAsia="en-GB"/>
              </w:rPr>
            </w:pPr>
            <w:r w:rsidRPr="0049608D">
              <w:rPr>
                <w:rFonts w:ascii="Verdana" w:eastAsia="Times New Roman" w:hAnsi="Verdana"/>
                <w:noProof/>
                <w:sz w:val="18"/>
                <w:szCs w:val="18"/>
                <w:lang w:eastAsia="en-GB"/>
              </w:rPr>
              <w:t>Project management </w:t>
            </w:r>
          </w:p>
        </w:tc>
        <w:tc>
          <w:tcPr>
            <w:tcW w:type="dxa" w:w="1468"/>
            <w:tcBorders>
              <w:top w:val="nil"/>
              <w:left w:val="nil"/>
              <w:bottom w:color="auto" w:space="0" w:sz="12" w:val="single"/>
              <w:right w:color="auto" w:space="0" w:sz="8" w:val="single"/>
            </w:tcBorders>
            <w:shd w:color="000000" w:fill="FFFFFF" w:val="clear"/>
            <w:vAlign w:val="center"/>
            <w:hideMark/>
          </w:tcPr>
          <w:p w:rsidP="00A022CE" w:rsidR="00FA3869" w:rsidRDefault="00BD647E" w:rsidRPr="0049608D">
            <w:pPr>
              <w:spacing w:after="0" w:line="240" w:lineRule="auto"/>
              <w:rPr>
                <w:rFonts w:ascii="Verdana" w:eastAsia="Times New Roman" w:hAnsi="Verdana"/>
                <w:sz w:val="18"/>
                <w:szCs w:val="18"/>
                <w:lang w:eastAsia="en-GB"/>
              </w:rPr>
            </w:pPr>
            <w:r w:rsidR="00E6164F">
              <w:rPr>
                <w:rFonts w:ascii="Verdana" w:eastAsia="Times New Roman" w:hAnsi="Verdana"/>
                <w:noProof/>
                <w:sz w:val="18"/>
                <w:szCs w:val="18"/>
                <w:lang w:eastAsia="en-GB"/>
              </w:rPr>
              <w:t>17/02/2016</w:t>
            </w:r>
          </w:p>
        </w:tc>
        <w:tc>
          <w:tcPr>
            <w:tcW w:type="dxa" w:w="1469"/>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07/04/2023</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FE35C9"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type="dxa" w:w="1468"/>
            <w:tcBorders>
              <w:top w:val="nil"/>
              <w:left w:val="nil"/>
              <w:bottom w:color="auto" w:space="0" w:sz="12" w:val="single"/>
              <w:right w:color="auto" w:space="0" w:sz="8" w:val="single"/>
            </w:tcBorders>
            <w:shd w:color="000000" w:fill="FFFFFF"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30/07/2020</w:t>
            </w:r>
          </w:p>
        </w:tc>
        <w:tc>
          <w:tcPr>
            <w:tcW w:type="dxa" w:w="1468"/>
            <w:gridSpan w:val="2"/>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Pr>
                <w:rFonts w:ascii="Verdana" w:eastAsia="Times New Roman" w:hAnsi="Verdana"/>
                <w:noProof/>
                <w:sz w:val="18"/>
                <w:szCs w:val="18"/>
                <w:lang w:eastAsia="en-GB"/>
              </w:rPr>
              <w:t>17/02/2016</w:t>
            </w:r>
          </w:p>
        </w:tc>
        <w:tc>
          <w:tcPr>
            <w:tcW w:type="dxa" w:w="1469"/>
            <w:tcBorders>
              <w:top w:val="nil"/>
              <w:left w:val="nil"/>
              <w:bottom w:color="auto" w:space="0" w:sz="12" w:val="single"/>
              <w:right w:color="auto" w:space="0" w:sz="8" w:val="single"/>
            </w:tcBorders>
            <w:shd w:color="auto" w:fill="auto" w:val="clear"/>
            <w:vAlign w:val="center"/>
            <w:hideMark/>
          </w:tcPr>
          <w:p w:rsidP="00910134" w:rsidR="00893ED9" w:rsidRDefault="000F4B41" w:rsidRPr="0049608D">
            <w:pPr>
              <w:spacing w:after="0" w:line="240" w:lineRule="auto"/>
              <w:rPr>
                <w:rFonts w:ascii="Verdana" w:eastAsia="Times New Roman" w:hAnsi="Verdana"/>
                <w:sz w:val="18"/>
                <w:szCs w:val="18"/>
                <w:lang w:eastAsia="en-GB"/>
              </w:rPr>
            </w:pPr>
            <w:r w:rsidR="007E1A22">
              <w:rPr>
                <w:rFonts w:ascii="Verdana" w:eastAsia="Times New Roman" w:hAnsi="Verdana"/>
                <w:noProof/>
                <w:sz w:val="18"/>
                <w:szCs w:val="18"/>
                <w:lang w:eastAsia="en-GB"/>
              </w:rPr>
              <w:t>31/12/2023</w:t>
            </w:r>
          </w:p>
        </w:tc>
        <w:tc>
          <w:tcPr>
            <w:tcW w:type="dxa" w:w="2153"/>
            <w:tcBorders>
              <w:top w:val="nil"/>
              <w:left w:val="nil"/>
              <w:bottom w:color="auto" w:space="0" w:sz="12" w:val="single"/>
              <w:right w:color="auto" w:space="0" w:sz="8" w:val="single"/>
            </w:tcBorders>
            <w:shd w:color="auto" w:fill="auto" w:val="clear"/>
            <w:vAlign w:val="center"/>
            <w:hideMark/>
          </w:tcPr>
          <w:p w:rsidP="00816707" w:rsidR="00893ED9" w:rsidRDefault="00E658FD" w:rsidRPr="0049608D">
            <w:pPr>
              <w:spacing w:after="0" w:line="240" w:lineRule="auto"/>
              <w:jc w:val="center"/>
              <w:rPr>
                <w:rFonts w:ascii="Verdana" w:eastAsia="Times New Roman" w:hAnsi="Verdana"/>
                <w:sz w:val="18"/>
                <w:szCs w:val="18"/>
                <w:lang w:eastAsia="en-GB"/>
              </w:rPr>
            </w:pPr>
            <w:r>
              <w:rPr>
                <w:rFonts w:ascii="Verdana" w:eastAsia="Times New Roman" w:hAnsi="Verdana"/>
                <w:noProof/>
                <w:sz w:val="18"/>
                <w:szCs w:val="18"/>
                <w:lang w:eastAsia="en-GB"/>
              </w:rPr>
              <w:t>100.00</w:t>
            </w:r>
          </w:p>
        </w:tc>
      </w:tr>
      <w:tr w:rsidR="00893ED9" w:rsidRPr="00DE090B" w:rsidTr="00F51FEF">
        <w:trPr>
          <w:trHeight w:val="476"/>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887EE8" w:rsidR="00893ED9" w:rsidRDefault="00893ED9" w:rsidRPr="00DE090B">
            <w:pPr>
              <w:spacing w:after="0" w:line="240" w:lineRule="auto"/>
              <w:jc w:val="center"/>
              <w:rPr>
                <w:rFonts w:ascii="Verdana" w:eastAsia="Times New Roman" w:hAnsi="Verdana"/>
                <w:b/>
                <w:bCs/>
                <w:spacing w:val="-10"/>
                <w:sz w:val="18"/>
                <w:lang w:eastAsia="en-GB"/>
              </w:rPr>
            </w:pPr>
            <w:r>
              <w:rPr>
                <w:rFonts w:eastAsia="Times New Roman"/>
                <w:b/>
                <w:lang w:eastAsia="en-GB"/>
              </w:rPr>
              <w:t>*</w:t>
            </w:r>
            <w:r w:rsidRPr="00127DD0">
              <w:rPr>
                <w:rFonts w:eastAsia="Times New Roman"/>
                <w:b/>
                <w:lang w:eastAsia="en-GB"/>
              </w:rPr>
              <w:t>Please explain how the percentage</w:t>
            </w:r>
            <w:r>
              <w:rPr>
                <w:rFonts w:eastAsia="Times New Roman"/>
                <w:b/>
                <w:lang w:eastAsia="en-GB"/>
              </w:rPr>
              <w:t xml:space="preserve"> of the progress achieved</w:t>
            </w:r>
            <w:r w:rsidRPr="00127DD0">
              <w:rPr>
                <w:rFonts w:eastAsia="Times New Roman"/>
                <w:b/>
                <w:lang w:eastAsia="en-GB"/>
              </w:rPr>
              <w:t xml:space="preserve"> has been estimated/calculated</w:t>
            </w:r>
          </w:p>
        </w:tc>
      </w:tr>
      <w:tr w:rsidR="00893ED9" w:rsidRPr="00DE090B" w:rsidTr="00F53A95">
        <w:trPr>
          <w:trHeight w:val="965"/>
          <w:jc w:val="center"/>
        </w:trPr>
        <w:tc>
          <w:tcPr>
            <w:tcW w:type="dxa" w:w="14877"/>
            <w:gridSpan w:val="10"/>
            <w:tcBorders>
              <w:top w:val="nil"/>
              <w:left w:color="auto" w:space="0" w:sz="12" w:val="single"/>
              <w:bottom w:color="auto" w:space="0" w:sz="12" w:val="single"/>
              <w:right w:color="auto" w:space="0" w:sz="12" w:val="single"/>
            </w:tcBorders>
            <w:shd w:color="000000" w:fill="FFFFFF" w:val="clear"/>
            <w:vAlign w:val="center"/>
          </w:tcPr>
          <w:p w:rsidP="00F53A95" w:rsidR="00893ED9" w:rsidRDefault="003D4D07" w:rsidRPr="00A44255">
            <w:pPr>
              <w:spacing w:after="0" w:line="240" w:lineRule="auto"/>
              <w:rPr>
                <w:rFonts w:ascii="Verdana" w:eastAsia="Times New Roman" w:hAnsi="Verdana"/>
                <w:bCs/>
                <w:spacing w:val="-10"/>
                <w:sz w:val="18"/>
                <w:lang w:eastAsia="en-GB"/>
              </w:rPr>
            </w:pPr>
            <w:r>
              <w:rPr>
                <w:rFonts w:ascii="Verdana" w:eastAsia="Times New Roman" w:hAnsi="Verdana"/>
                <w:bCs/>
                <w:noProof/>
                <w:spacing w:val="-10"/>
                <w:sz w:val="18"/>
                <w:lang w:eastAsia="en-GB"/>
              </w:rPr>
              <w:t>The methodology for calculating the technical progress of the activity is based on weighted percentage of technical progress, representing 100 %. This value of the technical progress includes performed activities for milestones 15, 16, 17, 18, 19 and 20 with each milestone corresponding to the following percentages: milestone 15 – 15 %, milestone 16 – 15 %, milestone 17 – 25 %, milestone 18 – 25 %, milestone 19 – 10 % and milestone 201 – 10 %.</w:t>
              <w:br/>
              <w:t xml:space="preserve"/>
              <w:br/>
              <w:t xml:space="preserve">The methodology has been chosen and applied in all previously submitted ASRs, as for projects of this kind the financial progress never really corresponds to technical progress.</w:t>
              <w:br/>
              <w:t xml:space="preserve"/>
              <w:br/>
              <w:t xml:space="preserve">The percentage numbers for technical progress of the milestones and the activities are presented in Table 1, Annex 1.</w:t>
              <w:br/>
              <w:t xml:space="preserve"/>
              <w:br/>
              <w:t xml:space="preserve">The Action´s cumulative technical progress including the planned technical progress is also enclosed in Annex 2 and Annex 9. </w:t>
              <w:br/>
              <w:t xml:space="preserve"/>
              <w:br/>
              <w:t xml:space="preserve"/>
            </w:r>
          </w:p>
        </w:tc>
      </w:tr>
      <w:tr w:rsidR="00893ED9" w:rsidRPr="00DE090B" w:rsidTr="00275274">
        <w:trPr>
          <w:trHeight w:val="1370"/>
          <w:jc w:val="center"/>
        </w:trPr>
        <w:tc>
          <w:tcPr>
            <w:tcW w:type="dxa" w:w="1241"/>
            <w:tcBorders>
              <w:top w:val="nil"/>
              <w:left w:color="auto" w:space="0" w:sz="12" w:val="single"/>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Milestone no</w:t>
            </w:r>
          </w:p>
        </w:tc>
        <w:tc>
          <w:tcPr>
            <w:tcW w:type="dxa" w:w="2673"/>
            <w:tcBorders>
              <w:top w:val="nil"/>
              <w:left w:val="nil"/>
              <w:bottom w:color="auto" w:space="0" w:sz="12" w:val="single"/>
              <w:right w:color="auto"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z w:val="18"/>
                <w:lang w:eastAsia="en-GB"/>
              </w:rPr>
              <w:t>Title</w:t>
            </w:r>
            <w:r w:rsidRPr="00DE090B">
              <w:rPr>
                <w:rFonts w:ascii="Verdana" w:eastAsia="Times New Roman" w:hAnsi="Verdana"/>
                <w:b/>
                <w:bCs/>
                <w:sz w:val="18"/>
                <w:vertAlign w:val="superscript"/>
                <w:lang w:eastAsia="en-GB"/>
              </w:rPr>
              <w:t>1</w:t>
            </w:r>
          </w:p>
        </w:tc>
        <w:tc>
          <w:tcPr>
            <w:tcW w:type="dxa" w:w="2937"/>
            <w:gridSpan w:val="2"/>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Planned completion date</w:t>
            </w:r>
            <w:r w:rsidR="002E2FFD">
              <w:rPr>
                <w:rFonts w:ascii="Verdana" w:eastAsia="Times New Roman" w:hAnsi="Verdana"/>
                <w:b/>
                <w:bCs/>
                <w:spacing w:val="-10"/>
                <w:sz w:val="18"/>
                <w:lang w:eastAsia="en-GB"/>
              </w:rPr>
              <w:t xml:space="preserve"> </w:t>
            </w:r>
            <w:r w:rsidR="002E2FFD" w:rsidRPr="00DE090B">
              <w:rPr>
                <w:rFonts w:ascii="Verdana" w:eastAsia="Times New Roman" w:hAnsi="Verdana"/>
                <w:b/>
                <w:bCs/>
                <w:spacing w:val="-10"/>
                <w:sz w:val="18"/>
                <w:vertAlign w:val="superscript"/>
                <w:lang w:eastAsia="en-GB"/>
              </w:rPr>
              <w:t>(GA)</w:t>
            </w:r>
          </w:p>
        </w:tc>
        <w:tc>
          <w:tcPr>
            <w:tcW w:type="dxa" w:w="2942"/>
            <w:gridSpan w:val="3"/>
            <w:tcBorders>
              <w:top w:color="auto" w:space="0" w:sz="12" w:val="single"/>
              <w:left w:val="nil"/>
              <w:bottom w:color="auto" w:space="0" w:sz="12" w:val="single"/>
              <w:right w:color="000000" w:space="0" w:sz="8" w:val="single"/>
            </w:tcBorders>
            <w:shd w:color="000000" w:fill="FFFFFF"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Pr>
                <w:rFonts w:ascii="Verdana" w:eastAsia="Times New Roman" w:hAnsi="Verdana"/>
                <w:b/>
                <w:bCs/>
                <w:spacing w:val="-10"/>
                <w:sz w:val="18"/>
                <w:lang w:eastAsia="en-GB"/>
              </w:rPr>
              <w:t>Previous</w:t>
            </w:r>
            <w:r w:rsidRPr="00DE090B">
              <w:rPr>
                <w:rFonts w:ascii="Verdana" w:eastAsia="Times New Roman" w:hAnsi="Verdana"/>
                <w:b/>
                <w:bCs/>
                <w:spacing w:val="-10"/>
                <w:sz w:val="18"/>
                <w:lang w:eastAsia="en-GB"/>
              </w:rPr>
              <w:t xml:space="preserve"> ASR date</w:t>
            </w:r>
          </w:p>
        </w:tc>
        <w:tc>
          <w:tcPr>
            <w:tcW w:type="dxa" w:w="2931"/>
            <w:gridSpan w:val="2"/>
            <w:tcBorders>
              <w:top w:color="auto" w:space="0" w:sz="12" w:val="single"/>
              <w:left w:val="nil"/>
              <w:bottom w:color="auto" w:space="0" w:sz="12" w:val="single"/>
              <w:right w:color="000000" w:space="0" w:sz="8" w:val="single"/>
            </w:tcBorders>
            <w:shd w:color="auto" w:fill="auto" w:val="clear"/>
            <w:vAlign w:val="center"/>
            <w:hideMark/>
          </w:tcPr>
          <w:p w:rsidP="004B31A7"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Actual</w:t>
            </w:r>
            <w:r w:rsidR="004B31A7">
              <w:rPr>
                <w:rFonts w:ascii="Verdana" w:eastAsia="Times New Roman" w:hAnsi="Verdana"/>
                <w:b/>
                <w:bCs/>
                <w:spacing w:val="-10"/>
                <w:sz w:val="18"/>
                <w:lang w:eastAsia="en-GB"/>
              </w:rPr>
              <w:t xml:space="preserve"> </w:t>
            </w:r>
            <w:r w:rsidRPr="00DE090B">
              <w:rPr>
                <w:rFonts w:ascii="Verdana" w:eastAsia="Times New Roman" w:hAnsi="Verdana"/>
                <w:b/>
                <w:bCs/>
                <w:spacing w:val="-10"/>
                <w:sz w:val="18"/>
                <w:lang w:eastAsia="en-GB"/>
              </w:rPr>
              <w:t xml:space="preserve"> completion date</w:t>
            </w:r>
          </w:p>
        </w:tc>
        <w:tc>
          <w:tcPr>
            <w:tcW w:type="dxa" w:w="2153"/>
            <w:tcBorders>
              <w:top w:val="nil"/>
              <w:left w:val="nil"/>
              <w:bottom w:color="auto" w:space="0" w:sz="12" w:val="single"/>
              <w:right w:color="auto" w:space="0" w:sz="8" w:val="single"/>
            </w:tcBorders>
            <w:shd w:color="auto" w:fill="auto" w:val="clear"/>
            <w:vAlign w:val="center"/>
            <w:hideMark/>
          </w:tcPr>
          <w:p w:rsidP="00887EE8" w:rsidR="00893ED9" w:rsidRDefault="00893ED9" w:rsidRPr="00DE090B">
            <w:pPr>
              <w:spacing w:after="0" w:line="240" w:lineRule="auto"/>
              <w:jc w:val="center"/>
              <w:rPr>
                <w:rFonts w:ascii="Verdana" w:eastAsia="Times New Roman" w:hAnsi="Verdana"/>
                <w:b/>
                <w:bCs/>
                <w:sz w:val="18"/>
                <w:lang w:eastAsia="en-GB"/>
              </w:rPr>
            </w:pPr>
            <w:r w:rsidRPr="00DE090B">
              <w:rPr>
                <w:rFonts w:ascii="Verdana" w:eastAsia="Times New Roman" w:hAnsi="Verdana"/>
                <w:b/>
                <w:bCs/>
                <w:spacing w:val="-10"/>
                <w:sz w:val="18"/>
                <w:lang w:eastAsia="en-GB"/>
              </w:rPr>
              <w:t>Reached (Y/N)</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15</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Public procurement procedure for construction works supervision published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10/09/2018</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10/09/2018</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10/09/2018</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contract was awarded within the re-opening of the tender under a concluded framework agreement by sending the call for tenders on 10/09/2018 to all 9 participants of the Framework Agreement.  </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16</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Contract signed for construction works supervision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30/07/2020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30/07/2020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30/07/2020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verification of fulfilment - https://www.uvo.gov.sk/vestnik/oznamenie/detail/459650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17</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Public procurement procedure for construction works published </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30/06/2017</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30/06/2017</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30/06/2017</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public procurement procedure for construction works was published on 30/06/2017 due to finalisation procedure of tender documentation following the comments of the MoTC SR which took longer than expected.</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18</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Contract signed for construction works</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11/06/2020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11/06/2020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11/06/2020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The contract for construction works was signed on 11/06/2020.</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19</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Public procurement procedure for publicity billboards published</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19/06/2020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19/06/2020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19/06/2020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Contract notice for temporary information billboards on the electronic marketplace</w:t>
            </w:r>
          </w:p>
        </w:tc>
      </w:tr>
      <w:tr w:rsidR="00275274" w:rsidRPr="00160F69" w:rsidTr="00275274">
        <w:trPr>
          <w:trHeight w:val="310"/>
          <w:jc w:val="center"/>
        </w:trPr>
        <w:tc>
          <w:tcPr>
            <w:tcW w:type="dxa" w:w="1241"/>
            <w:tcBorders>
              <w:top w:val="nil"/>
              <w:left w:color="auto" w:space="0" w:sz="12" w:val="single"/>
              <w:bottom w:color="auto" w:space="0" w:sz="8" w:val="single"/>
              <w:right w:color="auto" w:space="0" w:sz="8" w:val="single"/>
            </w:tcBorders>
            <w:shd w:color="000000" w:fill="FFFFFF" w:val="clear"/>
            <w:vAlign w:val="center"/>
            <w:hideMark/>
          </w:tcPr>
          <w:p w:rsidP="008607F6" w:rsidR="00275274" w:rsidRDefault="00AF7769" w:rsidRPr="00CC456A">
            <w:pPr>
              <w:spacing w:after="0" w:line="240" w:lineRule="auto"/>
              <w:rPr>
                <w:rFonts w:eastAsia="Times New Roman"/>
                <w:sz w:val="18"/>
                <w:lang w:eastAsia="en-GB"/>
              </w:rPr>
            </w:pPr>
            <w:r w:rsidR="008607F6">
              <w:rPr>
                <w:rFonts w:ascii="Verdana" w:eastAsia="Times New Roman" w:hAnsi="Verdana"/>
                <w:noProof/>
                <w:sz w:val="18"/>
                <w:szCs w:val="18"/>
                <w:lang w:eastAsia="en-GB"/>
              </w:rPr>
              <w:t>20</w:t>
            </w:r>
          </w:p>
        </w:tc>
        <w:tc>
          <w:tcPr>
            <w:tcW w:type="dxa" w:w="2673"/>
            <w:tcBorders>
              <w:top w:val="nil"/>
              <w:left w:val="nil"/>
              <w:bottom w:color="auto" w:space="0" w:sz="8" w:val="single"/>
              <w:right w:color="auto" w:space="0" w:sz="8" w:val="single"/>
            </w:tcBorders>
            <w:shd w:color="000000" w:fill="FFFFFF"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Activity 4- Contract signed for publicity billborads</w:t>
            </w:r>
          </w:p>
        </w:tc>
        <w:tc>
          <w:tcPr>
            <w:tcW w:type="dxa" w:w="2937"/>
            <w:gridSpan w:val="2"/>
            <w:tcBorders>
              <w:top w:color="auto" w:space="0" w:sz="12" w:val="single"/>
              <w:left w:val="nil"/>
              <w:bottom w:color="auto" w:space="0" w:sz="8" w:val="single"/>
              <w:right w:color="000000" w:space="0" w:sz="8" w:val="single"/>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24/06/2020</w:t>
            </w:r>
          </w:p>
        </w:tc>
        <w:tc>
          <w:tcPr>
            <w:tcW w:type="dxa" w:w="2942"/>
            <w:gridSpan w:val="3"/>
            <w:tcBorders>
              <w:top w:val="nil"/>
              <w:left w:val="nil"/>
              <w:bottom w:color="auto" w:space="0" w:sz="8" w:val="single"/>
              <w:right w:val="nil"/>
            </w:tcBorders>
            <w:shd w:color="000000" w:fill="FFFFFF" w:val="clear"/>
            <w:vAlign w:val="center"/>
            <w:hideMark/>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24/06/2020</w:t>
            </w:r>
          </w:p>
        </w:tc>
        <w:tc>
          <w:tcPr>
            <w:tcW w:type="dxa" w:w="2931"/>
            <w:gridSpan w:val="2"/>
            <w:tcBorders>
              <w:top w:color="auto" w:space="0" w:sz="12" w:val="single"/>
              <w:left w:color="auto" w:space="0" w:sz="8" w:val="single"/>
              <w:bottom w:color="auto" w:space="0" w:sz="8" w:val="single"/>
              <w:right w:color="000000" w:space="0" w:sz="8" w:val="single"/>
            </w:tcBorders>
            <w:shd w:color="auto" w:fill="auto" w:val="clear"/>
            <w:vAlign w:val="center"/>
          </w:tcPr>
          <w:p w:rsidP="00275274" w:rsidR="00275274" w:rsidRDefault="00275274" w:rsidRPr="00275274">
            <w:pPr>
              <w:spacing w:after="0" w:line="240" w:lineRule="auto"/>
              <w:rPr>
                <w:rFonts w:ascii="Verdana" w:eastAsia="Times New Roman" w:hAnsi="Verdana"/>
                <w:noProof/>
                <w:sz w:val="18"/>
                <w:szCs w:val="18"/>
                <w:lang w:eastAsia="en-GB"/>
              </w:rPr>
            </w:pPr>
            <w:r>
              <w:rPr>
                <w:rFonts w:ascii="Verdana" w:eastAsia="Times New Roman" w:hAnsi="Verdana"/>
                <w:noProof/>
                <w:sz w:val="18"/>
                <w:szCs w:val="18"/>
                <w:lang w:eastAsia="en-GB"/>
              </w:rPr>
              <w:t>24/06/2020</w:t>
            </w:r>
          </w:p>
        </w:tc>
        <w:tc>
          <w:tcPr>
            <w:tcW w:type="dxa" w:w="2153"/>
            <w:tcBorders>
              <w:top w:val="nil"/>
              <w:left w:val="nil"/>
              <w:bottom w:color="auto" w:space="0" w:sz="8" w:val="single"/>
              <w:right w:color="auto" w:space="0" w:sz="8" w:val="single"/>
            </w:tcBorders>
            <w:shd w:color="auto" w:fill="auto" w:val="clear"/>
            <w:vAlign w:val="center"/>
            <w:hideMark/>
          </w:tcPr>
          <w:p w:rsidP="00275274" w:rsidR="00275274" w:rsidRDefault="00275274" w:rsidRPr="00160F69">
            <w:pPr>
              <w:spacing w:after="0" w:line="240" w:lineRule="auto"/>
              <w:jc w:val="center"/>
              <w:rPr>
                <w:rFonts w:ascii="Verdana" w:eastAsia="Times New Roman" w:hAnsi="Verdana"/>
                <w:lang w:eastAsia="en-GB"/>
              </w:rPr>
            </w:pPr>
            <w:r>
              <w:rPr>
                <w:rFonts w:ascii="Verdana" w:eastAsia="Times New Roman" w:hAnsi="Verdana"/>
                <w:noProof/>
                <w:sz w:val="18"/>
                <w:szCs w:val="18"/>
                <w:lang w:eastAsia="en-GB"/>
              </w:rPr>
              <w:t>Yes</w:t>
            </w:r>
          </w:p>
        </w:tc>
      </w:tr>
      <w:tr w:rsidR="00893ED9"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887EE8" w:rsidR="00893ED9" w:rsidRDefault="00893ED9" w:rsidRPr="00160F69">
            <w:pPr>
              <w:spacing w:after="0" w:line="240" w:lineRule="auto"/>
              <w:jc w:val="center"/>
              <w:rPr>
                <w:rFonts w:ascii="Verdana" w:eastAsia="Times New Roman" w:hAnsi="Verdana"/>
                <w:lang w:eastAsia="en-GB"/>
              </w:rPr>
            </w:pPr>
            <w:r w:rsidRPr="00DE090B">
              <w:rPr>
                <w:rFonts w:ascii="Verdana" w:eastAsia="Times New Roman" w:hAnsi="Verdana"/>
                <w:b/>
                <w:bCs/>
                <w:spacing w:val="-10"/>
                <w:sz w:val="18"/>
                <w:lang w:eastAsia="en-GB"/>
              </w:rPr>
              <w:lastRenderedPageBreak/>
              <w:t>Explanation for any deviation</w:t>
            </w:r>
            <w:r>
              <w:rPr>
                <w:rFonts w:ascii="Verdana" w:eastAsia="Times New Roman" w:hAnsi="Verdana"/>
                <w:b/>
                <w:bCs/>
                <w:spacing w:val="-10"/>
                <w:sz w:val="18"/>
                <w:lang w:eastAsia="en-GB"/>
              </w:rPr>
              <w:t xml:space="preserve"> from planned completion date</w:t>
            </w:r>
          </w:p>
        </w:tc>
      </w:tr>
      <w:tr w:rsidR="00275274" w:rsidRPr="00160F69" w:rsidTr="00F51FEF">
        <w:trPr>
          <w:trHeight w:val="351"/>
          <w:jc w:val="center"/>
        </w:trPr>
        <w:tc>
          <w:tcPr>
            <w:tcW w:type="dxa" w:w="14877"/>
            <w:gridSpan w:val="10"/>
            <w:tcBorders>
              <w:top w:val="nil"/>
              <w:left w:color="auto" w:space="0" w:sz="12" w:val="single"/>
              <w:bottom w:color="auto" w:space="0" w:sz="8" w:val="single"/>
              <w:right w:color="auto" w:space="0" w:sz="12" w:val="single"/>
            </w:tcBorders>
            <w:shd w:color="000000" w:fill="FFFFFF" w:val="clear"/>
            <w:vAlign w:val="center"/>
          </w:tcPr>
          <w:p w:rsidP="00275274" w:rsidR="00275274" w:rsidRDefault="003D4D07" w:rsidRPr="00275274">
            <w:pPr>
              <w:spacing w:after="0" w:line="240" w:lineRule="auto"/>
              <w:rPr>
                <w:rFonts w:ascii="Verdana" w:eastAsia="Times New Roman" w:hAnsi="Verdana"/>
                <w:bCs/>
                <w:noProof/>
                <w:spacing w:val="-10"/>
                <w:sz w:val="18"/>
                <w:lang w:eastAsia="en-GB"/>
              </w:rPr>
            </w:pPr>
            <w:r>
              <w:rPr>
                <w:rFonts w:ascii="Verdana" w:eastAsia="Times New Roman" w:hAnsi="Verdana"/>
                <w:noProof/>
                <w:sz w:val="18"/>
                <w:szCs w:val="18"/>
                <w:lang w:eastAsia="en-GB"/>
              </w:rPr>
              <w:t>Signing the contract in an automated way on the electronic marketplace</w:t>
            </w:r>
          </w:p>
        </w:tc>
      </w:tr>
    </w:tbl>
    <w:p w:rsidR="00AB2D5F" w:rsidRDefault="00E035B3">
      <w:pPr>
        <w:sectPr w:rsidR="00AB2D5F" w:rsidSect="00AB2D5F">
          <w:pgSz w:h="11906" w:orient="landscape" w:w="16838"/>
          <w:pgMar w:bottom="1440" w:footer="709" w:gutter="0" w:header="709" w:left="1440" w:right="737" w:top="1440"/>
          <w:cols w:space="708"/>
          <w:docGrid w:linePitch="360"/>
        </w:sectPr>
      </w:pPr>
      <w:r w:rsidR="00F51FEF">
        <w:rPr>
          <w:noProof/>
        </w:rPr>
        <w:t/>
      </w:r>
    </w:p>
    <w:p w:rsidR="000C4B70" w:rsidRDefault="000C4B70"/>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0C4B70" w:rsidRPr="00187B31" w:rsidTr="000C4B70">
        <w:trPr>
          <w:trHeight w:val="264"/>
          <w:jc w:val="center"/>
        </w:trPr>
        <w:tc>
          <w:tcPr>
            <w:tcW w:type="dxa" w:w="9594"/>
            <w:shd w:color="auto" w:fill="99CCFF" w:val="clear"/>
            <w:tcMar>
              <w:top w:type="dxa" w:w="85"/>
              <w:bottom w:type="dxa" w:w="85"/>
            </w:tcMar>
          </w:tcPr>
          <w:p w:rsidP="00086FAC" w:rsidR="000C4B70" w:rsidRDefault="000C4B70" w:rsidRPr="00950F3B">
            <w:pPr>
              <w:keepNext/>
              <w:spacing w:after="120" w:before="120"/>
              <w:ind w:left="113"/>
              <w:rPr>
                <w:rFonts w:ascii="Verdana" w:hAnsi="Verdana"/>
                <w:b/>
                <w:spacing w:val="-10"/>
              </w:rPr>
            </w:pPr>
            <w:r w:rsidRPr="00950F3B">
              <w:rPr>
                <w:rFonts w:ascii="Verdana" w:hAnsi="Verdana"/>
                <w:b/>
              </w:rPr>
              <w:br w:type="page"/>
            </w:r>
            <w:r w:rsidR="00950F3B" w:rsidRPr="00950F3B">
              <w:rPr>
                <w:rFonts w:ascii="Verdana" w:hAnsi="Verdana"/>
                <w:b/>
                <w:spacing w:val="-10"/>
              </w:rPr>
              <w:t xml:space="preserve">2.3 </w:t>
            </w:r>
            <w:r w:rsidR="007B7FD1">
              <w:rPr>
                <w:rFonts w:ascii="Verdana" w:hAnsi="Verdana"/>
                <w:b/>
                <w:spacing w:val="-10"/>
              </w:rPr>
              <w:t>If total actual costs/units deviates</w:t>
            </w:r>
            <w:r w:rsidR="00950F3B" w:rsidRPr="00950F3B">
              <w:rPr>
                <w:rFonts w:ascii="Verdana" w:hAnsi="Verdana"/>
                <w:b/>
                <w:spacing w:val="-10"/>
              </w:rPr>
              <w:t xml:space="preserve"> </w:t>
            </w:r>
            <w:r w:rsidR="00950F3B" w:rsidRPr="007B7FD1">
              <w:rPr>
                <w:rFonts w:ascii="Verdana" w:hAnsi="Verdana"/>
                <w:b/>
                <w:spacing w:val="-10"/>
              </w:rPr>
              <w:t>&gt;5%</w:t>
            </w:r>
            <w:r w:rsidR="00950F3B" w:rsidRPr="00950F3B">
              <w:rPr>
                <w:rFonts w:ascii="Verdana" w:hAnsi="Verdana"/>
                <w:b/>
                <w:spacing w:val="-10"/>
              </w:rPr>
              <w:t xml:space="preserve"> </w:t>
            </w:r>
            <w:r w:rsidR="007B7FD1">
              <w:rPr>
                <w:rFonts w:ascii="Verdana" w:hAnsi="Verdana"/>
                <w:b/>
                <w:spacing w:val="-10"/>
              </w:rPr>
              <w:t>compared to latest Grant Agreement in force, please explain why</w:t>
            </w:r>
          </w:p>
        </w:tc>
      </w:tr>
      <w:tr w:rsidR="000C4B70" w:rsidRPr="00187B31" w:rsidTr="000C4B70">
        <w:trPr>
          <w:trHeight w:val="1046"/>
          <w:jc w:val="center"/>
        </w:trPr>
        <w:tc>
          <w:tcPr>
            <w:tcW w:type="dxa" w:w="9594"/>
            <w:tcMar>
              <w:top w:type="dxa" w:w="85"/>
              <w:bottom w:type="dxa" w:w="85"/>
            </w:tcMar>
          </w:tcPr>
          <w:p w:rsidP="009A6BA9" w:rsidR="009A6BA9" w:rsidRDefault="00E035B3" w:rsidRPr="003B7434">
            <w:pPr>
              <w:spacing w:after="0" w:line="240" w:lineRule="auto"/>
            </w:pPr>
            <w:r w:rsidR="009A6BA9">
              <w:rPr>
                <w:noProof/>
              </w:rPr>
              <w:t/>
            </w:r>
            <w:r w:rsidR="009A6BA9">
              <w:rPr>
                <w:noProof/>
              </w:rPr>
              <w:t/>
            </w:r>
            <w:r w:rsidR="009A6BA9" w:rsidRPr="000C5A38">
              <w:rPr>
                <w:noProof/>
              </w:rPr>
              <w:t/>
            </w:r>
            <w:r>
              <w:rPr>
                <w:noProof/>
              </w:rPr>
              <w:t/>
            </w:r>
            <w:r w:rsidR="009A6BA9" w:rsidRPr="000C5A38">
              <w:rPr>
                <w:noProof/>
              </w:rPr>
              <w:t/>
            </w:r>
            <w:r w:rsidR="009A6BA9">
              <w:rPr>
                <w:noProof/>
              </w:rPr>
              <w:t/>
            </w:r>
            <w:r w:rsidR="009A6BA9" w:rsidRPr="00330DCA">
              <w:rPr>
                <w:rFonts w:ascii="Verdana" w:eastAsia="Times New Roman" w:hAnsi="Verdana"/>
                <w:bCs/>
                <w:spacing w:val="-10"/>
                <w:lang w:eastAsia="en-GB"/>
              </w:rPr>
              <w:t xml:space="preserve">Activity </w:t>
            </w:r>
            <w:r w:rsidR="009A6BA9">
              <w:rPr>
                <w:rFonts w:ascii="Verdana" w:eastAsia="Times New Roman" w:hAnsi="Verdana"/>
                <w:bCs/>
                <w:noProof/>
                <w:spacing w:val="-10"/>
                <w:lang w:eastAsia="en-GB"/>
              </w:rPr>
              <w:t>2</w:t>
            </w:r>
            <w:r w:rsidR="009A6BA9">
              <w:rPr>
                <w:rFonts w:ascii="Verdana" w:eastAsia="Times New Roman" w:hAnsi="Verdana"/>
                <w:bCs/>
                <w:spacing w:val="-10"/>
                <w:lang w:eastAsia="en-GB"/>
              </w:rPr>
              <w:t xml:space="preserve"> </w:t>
            </w:r>
            <w:r w:rsidR="009A6BA9" w:rsidRPr="00330DCA">
              <w:rPr>
                <w:rFonts w:ascii="Verdana" w:eastAsia="Times New Roman" w:hAnsi="Verdana"/>
                <w:noProof/>
                <w:lang w:eastAsia="en-GB"/>
              </w:rPr>
              <w:t>Engineering/construction works supervision</w:t>
            </w:r>
          </w:p>
          <w:p w:rsidP="009A6BA9" w:rsidR="009A6BA9" w:rsidRDefault="009A6BA9">
            <w:pPr>
              <w:spacing w:after="0"/>
              <w:rPr>
                <w:rFonts w:ascii="Verdana" w:eastAsia="Times New Roman" w:hAnsi="Verdana"/>
                <w:lang w:eastAsia="en-GB"/>
              </w:rPr>
            </w:pPr>
            <w:r>
              <w:rPr>
                <w:rFonts w:ascii="Verdana" w:eastAsia="Times New Roman" w:hAnsi="Verdana"/>
                <w:noProof/>
                <w:lang w:eastAsia="en-GB"/>
              </w:rPr>
              <w:t>The actual costs deviation is due to the fact that the amount of actual costs in Activity 3 is based on data from the signed contract and its contract amendment https://www.crz.gov.sk/6002283-sk/1/ and https://www.crz.gov.sk/6290485-sk/2/</w:t>
            </w:r>
          </w:p>
          <w:p w:rsidP="009A6BA9" w:rsidR="000C4B70" w:rsidRDefault="009A6BA9" w:rsidRPr="00300013">
            <w:pPr>
              <w:spacing w:after="0"/>
            </w:pPr>
            <w:r w:rsidRPr="00665206">
              <w:rPr>
                <w:noProof/>
              </w:rPr>
              <w:t/>
            </w:r>
            <w:r>
              <w:rPr>
                <w:noProof/>
              </w:rPr>
              <w:t/>
            </w:r>
            <w:r w:rsidR="009A6BA9" w:rsidRPr="000C5A38">
              <w:rPr>
                <w:noProof/>
              </w:rPr>
              <w:t/>
            </w:r>
            <w:r>
              <w:rPr>
                <w:noProof/>
              </w:rPr>
              <w:t/>
            </w:r>
            <w:r w:rsidR="009A6BA9" w:rsidRPr="000C5A38">
              <w:rPr>
                <w:noProof/>
              </w:rPr>
              <w:t/>
            </w:r>
            <w:r>
              <w:rPr>
                <w:noProof/>
              </w:rPr>
              <w:t/>
            </w:r>
            <w:r w:rsidRPr="000D689C">
              <w:rPr>
                <w:noProof/>
              </w:rPr>
              <w:t/>
            </w:r>
          </w:p>
        </w:tc>
      </w:tr>
    </w:tbl>
    <w:p w:rsidR="00AB36AE" w:rsidRDefault="00AB36AE"/>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40170C" w:rsidRPr="00187B31" w:rsidTr="00CB6370">
        <w:trPr>
          <w:trHeight w:val="264"/>
          <w:jc w:val="center"/>
        </w:trPr>
        <w:tc>
          <w:tcPr>
            <w:tcW w:type="dxa" w:w="9594"/>
            <w:shd w:color="auto" w:fill="99CCFF" w:val="clear"/>
            <w:tcMar>
              <w:top w:type="dxa" w:w="85"/>
              <w:bottom w:type="dxa" w:w="85"/>
            </w:tcMar>
          </w:tcPr>
          <w:p w:rsidP="002A0EA4" w:rsidR="002A0EA4" w:rsidRDefault="002A0EA4">
            <w:pPr>
              <w:keepNext/>
              <w:spacing w:after="120" w:before="120"/>
              <w:ind w:left="113"/>
              <w:rPr>
                <w:rFonts w:ascii="Verdana" w:hAnsi="Verdana"/>
                <w:b/>
                <w:spacing w:val="-10"/>
                <w:u w:val="single"/>
              </w:rPr>
            </w:pPr>
            <w:r w:rsidRPr="002A0EA4">
              <w:rPr>
                <w:rFonts w:ascii="Verdana" w:hAnsi="Verdana"/>
                <w:b/>
                <w:spacing w:val="-10"/>
              </w:rPr>
              <w:t xml:space="preserve">2.4. Description of the Action's and activities' progress planned </w:t>
            </w:r>
            <w:r w:rsidRPr="002A0EA4">
              <w:rPr>
                <w:rFonts w:ascii="Verdana" w:hAnsi="Verdana"/>
                <w:b/>
                <w:spacing w:val="-10"/>
                <w:u w:val="single"/>
              </w:rPr>
              <w:t>in the on-going reporting period and until the end of implementation of the Action</w:t>
            </w:r>
          </w:p>
          <w:p w:rsidP="002A0EA4" w:rsidR="009C0B54" w:rsidRDefault="009C0B54" w:rsidRPr="002A0EA4">
            <w:pPr>
              <w:keepNext/>
              <w:spacing w:after="120" w:before="120"/>
              <w:ind w:left="113"/>
              <w:rPr>
                <w:rFonts w:ascii="Verdana" w:hAnsi="Verdana"/>
                <w:b/>
                <w:spacing w:val="-10"/>
                <w:u w:val="single"/>
              </w:rPr>
            </w:pPr>
          </w:p>
          <w:p w:rsidP="002A0EA4" w:rsidR="002A0EA4" w:rsidRDefault="009C0B54" w:rsidRPr="002A0EA4">
            <w:pPr>
              <w:keepNext/>
              <w:spacing w:after="120" w:before="120"/>
              <w:rPr>
                <w:rFonts w:ascii="Verdana" w:hAnsi="Verdana"/>
                <w:i/>
                <w:spacing w:val="-10"/>
              </w:rPr>
            </w:pPr>
            <w:r>
              <w:rPr>
                <w:rFonts w:ascii="Verdana" w:hAnsi="Verdana"/>
                <w:i/>
                <w:spacing w:val="-10"/>
              </w:rPr>
              <w:t>a) Provide a description of the</w:t>
            </w:r>
            <w:r w:rsidR="002A0EA4" w:rsidRPr="002A0EA4">
              <w:rPr>
                <w:rFonts w:ascii="Verdana" w:hAnsi="Verdana"/>
                <w:i/>
                <w:spacing w:val="-10"/>
              </w:rPr>
              <w:t xml:space="preserve"> planned progress of the activities in the on-going reporting period and, where applicable, beyond the on-going reporting period up until the end of the implementation of the Action (if the on-going reporting period is not the last one). </w:t>
            </w:r>
          </w:p>
          <w:p w:rsidP="002A0EA4" w:rsidR="002A0EA4" w:rsidRDefault="002A0EA4" w:rsidRPr="002A0EA4">
            <w:pPr>
              <w:keepNext/>
              <w:spacing w:after="120" w:before="120"/>
              <w:rPr>
                <w:rFonts w:ascii="Verdana" w:hAnsi="Verdana"/>
                <w:i/>
                <w:spacing w:val="-10"/>
              </w:rPr>
            </w:pPr>
            <w:r w:rsidRPr="002A0EA4">
              <w:rPr>
                <w:rFonts w:ascii="Verdana" w:hAnsi="Verdana"/>
                <w:i/>
                <w:spacing w:val="-10"/>
              </w:rPr>
              <w:t xml:space="preserve">b) Highlight and explain any deviation (e.g. on objectives of the Action, the completion of the planned activities, the cost-breakdown, Action's end date, etc.) in comparison to the latest grant agreement in force and, where applicable, latest ASR. </w:t>
            </w:r>
          </w:p>
          <w:p w:rsidP="002A0EA4" w:rsidR="0040170C" w:rsidRDefault="002A0EA4" w:rsidRPr="002A0EA4">
            <w:pPr>
              <w:keepNext/>
              <w:spacing w:after="120" w:before="120"/>
              <w:rPr>
                <w:rFonts w:ascii="Verdana" w:hAnsi="Verdana"/>
                <w:b/>
                <w:spacing w:val="-10"/>
              </w:rPr>
            </w:pPr>
            <w:r w:rsidRPr="002A0EA4">
              <w:rPr>
                <w:rFonts w:ascii="Verdana" w:hAnsi="Verdana"/>
                <w:i/>
                <w:spacing w:val="-10"/>
              </w:rPr>
              <w:t>c) Identify any expected/foreseen risk(s) that may challenge the actual end date of the Action and the associated mitigation plan(s).</w:t>
            </w:r>
          </w:p>
        </w:tc>
      </w:tr>
      <w:tr w:rsidR="0040170C" w:rsidRPr="00187B31" w:rsidTr="00CB6370">
        <w:trPr>
          <w:trHeight w:val="2440"/>
          <w:jc w:val="center"/>
        </w:trPr>
        <w:tc>
          <w:tcPr>
            <w:tcW w:type="dxa" w:w="9594"/>
            <w:tcMar>
              <w:top w:type="dxa" w:w="85"/>
              <w:bottom w:type="dxa" w:w="85"/>
            </w:tcMar>
          </w:tcPr>
          <w:p w:rsidP="0061142E" w:rsidR="0040170C" w:rsidRDefault="00A52058" w:rsidRPr="00187B31">
            <w:pPr>
              <w:spacing w:after="120" w:before="120"/>
              <w:ind w:left="113"/>
              <w:rPr>
                <w:rFonts w:ascii="Verdana" w:hAnsi="Verdana"/>
                <w:spacing w:val="-10"/>
              </w:rPr>
            </w:pPr>
            <w:r>
              <w:rPr>
                <w:rFonts w:ascii="Verdana" w:hAnsi="Verdana"/>
                <w:noProof/>
                <w:spacing w:val="-10"/>
              </w:rPr>
              <w:t>a) Planned progress of the activities</w:t>
              <w:br/>
              <w:t xml:space="preserve"/>
              <w:br/>
              <w:t xml:space="preserve">Activity 2 Engineering/construction works supervision</w:t>
              <w:br/>
              <w:t xml:space="preserve">The construction supervision services will continue as follows: </w:t>
              <w:br/>
              <w:t xml:space="preserve">-</w:t>
              <w:tab/>
              <w:t xml:space="preserve">supervision over an existing desing documentation</w:t>
              <w:br/>
              <w:t xml:space="preserve">-</w:t>
              <w:tab/>
              <w:t xml:space="preserve">supervision over keeping a daily log on construction progress</w:t>
              <w:br/>
              <w:t xml:space="preserve">-</w:t>
              <w:tab/>
              <w:t xml:space="preserve">taking over work before covering</w:t>
              <w:br/>
              <w:t xml:space="preserve">-</w:t>
              <w:tab/>
              <w:t xml:space="preserve">participation in field control measurements</w:t>
              <w:br/>
              <w:t xml:space="preserve">-</w:t>
              <w:tab/>
              <w:t xml:space="preserve">quality control of performed works, documentation of construction quality</w:t>
              <w:br/>
              <w:t xml:space="preserve">-</w:t>
              <w:tab/>
              <w:t xml:space="preserve">supervision over ensuring compliance with the conditions of the building permit, construction schedule and applicable standards</w:t>
              <w:br/>
              <w:t xml:space="preserve">-</w:t>
              <w:tab/>
              <w:t xml:space="preserve">control of quantities, type and quality of work performed, their compliance with design documentation</w:t>
              <w:br/>
              <w:t xml:space="preserve">-</w:t>
              <w:tab/>
              <w:t xml:space="preserve">checking the factual accuracy of the inventories of work performed by the contractor, compliance with the valued bill of quantity, control of the contractor's invoicing </w:t>
              <w:br/>
              <w:t xml:space="preserve">-</w:t>
              <w:tab/>
              <w:t xml:space="preserve">cooperation with author's supervision, control and completion of design documentation</w:t>
              <w:br/>
              <w:t xml:space="preserve">-</w:t>
              <w:tab/>
              <w:t xml:space="preserve">preparation of documents for change proceedings and change sheets</w:t>
              <w:br/>
              <w:t xml:space="preserve">-</w:t>
              <w:tab/>
              <w:t xml:space="preserve">checking the correctness of the valuation pricing and justification for performing additional work</w:t>
              <w:br/>
              <w:t xml:space="preserve">-</w:t>
              <w:tab/>
              <w:t xml:space="preserve">operational inspections of the construction</w:t>
              <w:br/>
              <w:t xml:space="preserve">-</w:t>
              <w:tab/>
              <w:t xml:space="preserve">monitoring of agreed deadlines</w:t>
              <w:br/>
              <w:t xml:space="preserve">-</w:t>
              <w:tab/>
              <w:t xml:space="preserve">ensuring the reporting of archaeological finds</w:t>
              <w:br/>
              <w:t xml:space="preserve">-</w:t>
              <w:tab/>
              <w:t xml:space="preserve">processing of required reports</w:t>
              <w:br/>
              <w:t xml:space="preserve">-</w:t>
              <w:tab/>
              <w:t xml:space="preserve">performing the activities of the health and safety coordinator</w:t>
              <w:br/>
              <w:t xml:space="preserve">-</w:t>
              <w:tab/>
              <w:t xml:space="preserve">inspection and registration of documents that the contractor hands over to the customer during construction</w:t>
              <w:br/>
              <w:t xml:space="preserve">-</w:t>
              <w:tab/>
              <w:t xml:space="preserve">independent and fair decision-making</w:t>
              <w:br/>
              <w:t xml:space="preserve">-</w:t>
              <w:tab/>
              <w:t xml:space="preserve">providing technical inspections, acceptance procedures, early use and construction approval </w:t>
              <w:br/>
              <w:t xml:space="preserve">-</w:t>
              <w:tab/>
              <w:t xml:space="preserve">preparation of documents for registration of changes in the real estate cadastre</w:t>
              <w:br/>
              <w:t xml:space="preserve"/>
              <w:br/>
              <w:t xml:space="preserve">Milestone 7 – Completion of construction works supervision (31/12/2023)</w:t>
              <w:br/>
              <w:t xml:space="preserve"/>
              <w:br/>
              <w:t xml:space="preserve">After completion of construction works by the contractor, the works of construction supervision continue with the performance of the activities listed below. The construction works supervision will be expected to:</w:t>
              <w:br/>
              <w:t xml:space="preserve">-</w:t>
              <w:tab/>
              <w:t xml:space="preserve">ensure and submit all necessary documents related to interoperability (TSI) according to the Railways Act and in terms of negotiations with the Transport Authority;</w:t>
              <w:br/>
              <w:t xml:space="preserve">-</w:t>
              <w:tab/>
              <w:t xml:space="preserve">provide applications for approval and the necessary documents with other building authorities for those construction parts that have not been approved;</w:t>
              <w:br/>
              <w:t xml:space="preserve">-</w:t>
              <w:tab/>
              <w:t xml:space="preserve">participate in negotiations with representatives of the ŽSR Geodesy Centre in relation to elaboration of post-implementation geometric plans as one of the necessary documents for approval, and to solve, in cooperation with the Contracting Authority, possible tasks for the division of administration;</w:t>
              <w:br/>
              <w:t xml:space="preserve">-</w:t>
              <w:tab/>
              <w:t xml:space="preserve">participate in negotiations with the representative of the general designer, who ensures the deposit of easements and to solve, in cooperation with the Contracting Authority, possible tasks to secure the deposit of easements, as one of the documents for approval;</w:t>
              <w:br/>
              <w:t xml:space="preserve">-</w:t>
              <w:tab/>
              <w:t xml:space="preserve">monitor and control the elimination of minor defects and shortcomings, which has to be implemented by the contractor, take over the removed defects and shortcomings with the participation of the future administrator and make records of the elimination of defects and shortcomings;</w:t>
              <w:br/>
              <w:t xml:space="preserve">-</w:t>
              <w:tab/>
              <w:t xml:space="preserve">monitor and control the elimination of deficiencies given in the environmental report of construction supervision;</w:t>
              <w:br/>
              <w:t xml:space="preserve">-</w:t>
              <w:tab/>
              <w:t xml:space="preserve">after securing the documents from the Contracting Authority (geometric plans, registration of easements) to apply to the special building office of the Ministry of Transport of the Slovak Republic for approval;</w:t>
              <w:br/>
              <w:t xml:space="preserve">-</w:t>
              <w:tab/>
              <w:t xml:space="preserve">in co-operation with the Contracting Authority to participate in negotiations with representatives of other foreign (non-railway) administrators (municipalities, cities, higher territorial units) to ensure the division of the construction objects into administration;</w:t>
              <w:br/>
              <w:t xml:space="preserve">-</w:t>
              <w:tab/>
              <w:t xml:space="preserve">complete the entrustment of construction objects after the last interim invoicing;</w:t>
              <w:br/>
              <w:t xml:space="preserve">-</w:t>
              <w:tab/>
              <w:t xml:space="preserve">prepare a final report, a final environmental report and a final report on safety and health at work before the end of the construction supervision activity;</w:t>
              <w:br/>
              <w:t xml:space="preserve">-</w:t>
              <w:tab/>
              <w:t xml:space="preserve">in co-operation with the Contracting Authority, to process documents for the distribution of the price of construction objects by a foreign administrator where possible;</w:t>
              <w:br/>
              <w:t xml:space="preserve">-</w:t>
              <w:tab/>
              <w:t xml:space="preserve">check and approve the final settlement of the construction and the final invoice and issue the final payment declaration;</w:t>
              <w:br/>
              <w:t xml:space="preserve">-</w:t>
              <w:tab/>
              <w:t xml:space="preserve">complete the archiving of all construction documents;</w:t>
              <w:br/>
              <w:t xml:space="preserve">-</w:t>
              <w:tab/>
              <w:t xml:space="preserve">prepare and submit documents for statistical records to Contracting Authority following the last invoicing.</w:t>
              <w:br/>
              <w:t xml:space="preserve"/>
              <w:br/>
              <w:t xml:space="preserve">Activity 3 Modernisation and construction of the railway line and equipment </w:t>
              <w:br/>
              <w:t xml:space="preserve">The following works will be performed by the contractor at individual CPCs in 2023:</w:t>
              <w:br/>
              <w:t xml:space="preserve"/>
              <w:br/>
              <w:t xml:space="preserve">Milestones 10 – Completion of works on CPC 403 Svit - Lučivná (Štrba) (30/11/2023)</w:t>
              <w:br/>
              <w:t xml:space="preserve">-</w:t>
              <w:tab/>
              <w:t xml:space="preserve">completion of bridge construction (SO 403-33-02) – track no. 2</w:t>
              <w:br/>
              <w:t xml:space="preserve">-</w:t>
              <w:tab/>
              <w:t xml:space="preserve">railway superstructure, railway substructure – track no. 2</w:t>
              <w:br/>
              <w:t xml:space="preserve">-</w:t>
              <w:tab/>
              <w:t xml:space="preserve">track security system (device)</w:t>
              <w:br/>
              <w:t xml:space="preserve"> -</w:t>
              <w:tab/>
              <w:t xml:space="preserve">Lučivná turnout</w:t>
              <w:br/>
              <w:t xml:space="preserve">-</w:t>
              <w:tab/>
              <w:t xml:space="preserve">Lučivná stop – railway superstructure, railway substructure, platforms, roofing of platforms, radio equipment, information system, radio network VOS and MOS, transformer station, fire alarm, intrusion alarm system, reinforced surfaces and access paths</w:t>
              <w:br/>
              <w:t xml:space="preserve">-</w:t>
              <w:tab/>
              <w:t xml:space="preserve">transportable traction converter Lučivná</w:t>
              <w:br/>
              <w:t xml:space="preserve">-</w:t>
              <w:tab/>
              <w:t xml:space="preserve">noise barriers</w:t>
              <w:br/>
              <w:t xml:space="preserve">-</w:t>
              <w:tab/>
              <w:t xml:space="preserve">relocations of communications</w:t>
              <w:br/>
              <w:t xml:space="preserve">-</w:t>
              <w:tab/>
              <w:t xml:space="preserve">cable protection route, catenary line system and train control system</w:t>
              <w:br/>
              <w:t xml:space="preserve">-       implementation of utility networks</w:t>
              <w:br/>
              <w:t xml:space="preserve">-       vegetation adjustments</w:t>
              <w:br/>
              <w:t xml:space="preserve"/>
              <w:br/>
              <w:t xml:space="preserve">Milestones 11 – Completion of works on CPC 401 Poprad - Svit (31/08/2023)</w:t>
              <w:br/>
              <w:t xml:space="preserve">-</w:t>
              <w:tab/>
              <w:t xml:space="preserve">construction work on Teplická Street</w:t>
              <w:br/>
              <w:t xml:space="preserve">-</w:t>
              <w:tab/>
              <w:t xml:space="preserve">train control system </w:t>
              <w:br/>
              <w:t xml:space="preserve">-</w:t>
              <w:tab/>
              <w:t xml:space="preserve">noise barriers</w:t>
              <w:br/>
              <w:t xml:space="preserve">-        implementation of utility network layouts</w:t>
              <w:br/>
              <w:t xml:space="preserve">-</w:t>
              <w:tab/>
              <w:t xml:space="preserve">vegetation adjustments</w:t>
              <w:br/>
              <w:t xml:space="preserve"/>
              <w:br/>
              <w:t xml:space="preserve">Milestones 12 – Completion of works on CPC 402 Svit station (30/11/2023)</w:t>
              <w:br/>
              <w:t xml:space="preserve">-</w:t>
              <w:tab/>
              <w:t xml:space="preserve">implementation of relocations of engineering networks</w:t>
              <w:br/>
              <w:t xml:space="preserve">-</w:t>
              <w:tab/>
              <w:t xml:space="preserve">railway superstructure, railway substructure, cable duct , cable protection route, contact line system and train control system for tracks no. 1 and 2</w:t>
              <w:br/>
              <w:t xml:space="preserve">-</w:t>
              <w:tab/>
              <w:t xml:space="preserve">part of the bridge (SO 402-33-01) under track no. 2</w:t>
              <w:br/>
              <w:t xml:space="preserve">-</w:t>
              <w:tab/>
              <w:t xml:space="preserve">Svit railway station – railway superstructure, railway substructure, platforms, platform roofing, station building, Svit underpass, earth walls, noise walls, lighting, underpass, Chemosvit siding, relocation of the road between I / 18 and III / 3064, radio equipment, information system, VOS and MOS radio network, transformer station, electric fire alarm system, intrusion alarm system, paved surfaces and access paths</w:t>
              <w:br/>
              <w:t xml:space="preserve">-</w:t>
              <w:tab/>
              <w:t xml:space="preserve">bridge over Poprad (SO 402-33-05)</w:t>
              <w:br/>
              <w:t xml:space="preserve">-</w:t>
              <w:tab/>
              <w:t xml:space="preserve">bridge over the cycle path SO 402-33-06</w:t>
              <w:br/>
              <w:t xml:space="preserve">-</w:t>
              <w:tab/>
              <w:t xml:space="preserve">bridge over access to Podskalka SO 402-33-07</w:t>
              <w:br/>
              <w:t xml:space="preserve">-</w:t>
              <w:tab/>
              <w:t xml:space="preserve">demolition of the bridge SO 403-32-04</w:t>
              <w:br/>
              <w:t xml:space="preserve">-</w:t>
              <w:tab/>
              <w:t xml:space="preserve">displacement of the railway curve at km 209.144 - 209.744</w:t>
              <w:br/>
              <w:t xml:space="preserve">-</w:t>
              <w:tab/>
              <w:t xml:space="preserve">vegetation adjustments</w:t>
              <w:br/>
              <w:t xml:space="preserve"/>
              <w:br/>
              <w:t xml:space="preserve">Milestones 13 – Completion of construction works (30/11/2023)</w:t>
              <w:br/>
              <w:t xml:space="preserve"/>
              <w:br/>
              <w:t xml:space="preserve">Milestones 14 – "As-built" documentation completed (30/11/2023)</w:t>
              <w:br/>
              <w:t xml:space="preserve"/>
              <w:br/>
              <w:t xml:space="preserve">b) Deviations in comparison to the latest grant agreement in force (latest ASR)</w:t>
              <w:br/>
              <w:t xml:space="preserve">Due to the delay of Milestone 18, the planned end date of the Action was postponed to 31/12/2023, which means 36 months compared to the date originally planned in GA. The PP was carried out in accordance with the PPA and there was no possibility for ŽSR to have any impact on the PP procedure.</w:t>
              <w:br/>
              <w:t xml:space="preserve"/>
              <w:br/>
              <w:t xml:space="preserve">The objectives of the Action remain unchanged. The updated cost breakdown is given in Annex 2. The cost breakdown was updated based on the actual completion dates of the milestones and the actual end date of the Action.</w:t>
              <w:br/>
              <w:t xml:space="preserve"/>
              <w:br/>
              <w:t xml:space="preserve">The actual costs for Activity 3 (Modernisation and construction of the railway line and equipment) are based on the contract price that is higher than the originally estimated costs presented in Grant Agreement.</w:t>
              <w:br/>
              <w:t xml:space="preserve">  </w:t>
              <w:br/>
              <w:t xml:space="preserve">c) Expected/foreseen risk(s)</w:t>
              <w:br/>
              <w:t xml:space="preserve">Activity 3 Modernisation and construction of the railway line and equipment</w:t>
              <w:br/>
              <w:t xml:space="preserve">In relation to the potential risks, which could affect the construction period, the prediction of their occurrence is relatively demanding and, basically, it can be based only on the experience of other (completed or currently ongoing) railway infrastructure projects.</w:t>
              <w:br/>
              <w:t xml:space="preserve">From practical experience, there are cases where there was a time disproportion compared to the approved schedule of construction works due to “force majeure”, e.g. flood, when the already built part of the work was devalued.</w:t>
              <w:br/>
              <w:t xml:space="preserve">The risks are also represented by engineering networks of foreign administrators (waterworks, telecommunications, gas pipelines, sewerage, etc.), where it is not possible to exclude their deviation position from the documents they provided to the designer at the time of preparation of the project documentation and thus the need for its revision was created.</w:t>
              <w:br/>
              <w:t xml:space="preserve">This is, of course, related to the new administrative procedures, the administration of which is time consuming. It is also not possible to exclude a change in the founding of artificial structures in the event of the detection of unsuitable physical-mechanical properties of the rock in which the structure is to be based.</w:t>
              <w:br/>
              <w:t xml:space="preserve">Last but not least, any archaeological findings, where extraordinary measures are required in accordance with the Slovak legislation in force, also constitute a certain level of risk.</w:t>
              <w:br/>
              <w:t xml:space="preserve"/>
              <w:br/>
              <w:t xml:space="preserve">Nowadays, due to the current global pandemic COVID-19, delays and restrictions on subcontracting from individual subcontractors are expected in near future.</w:t>
              <w:br/>
              <w:t xml:space="preserve">Taking into consideration the above, the contractor is going to prepare a change in the construction organization plan and work schedule, which can also have an impact on the completion date of the Action.</w:t>
              <w:br/>
              <w:t xml:space="preserve">The negative development of prices, which apparently occurred as a result of the pandemic situation (COVID - 19), is evident from statistical sources (such as https://www.thesteel.com/sk/vyvoj-cien), while the beginning of the negative development occurred in 12/ 2020 and the downward trend of price levels was recorded only in 05/2022, in any case, even as of 12/2022, its price reaches an increase of almost 70% compared to 2020. The unavailability of steel structures and products from it was further aggravated by the situation associated with the military conflict in Ukraine in 02/2022. Currently, the situation is stabilizing in terms of price sustainability, which means that suppliers are able to guarantee the prices of supplies of this material for a longer period of time (previously, the price offers were valid for 1-2 days), but the price level is still far above the originally contracted prices. This means that the Construction Contractor did not have a real opportunity to provide the necessary structural elements necessary for the construction of bridge structures at the time of implementation, and the global situation that arose on the market (not only in this segment) is, from our point of view, defined as the so-called "higher power", i.e. an event and circumstance that could not have been foreseen. It is also necessary to add that in terms of the availability of other construction materials and components, it has not reached the state before the military conflict, and we are constantly noticing shortages in the form of materials such as asphalt, bituminous mixtures, petroleum products - plastics, foils and others), or shortcomings associated with logistical operations during their transport, etc. Predicting developments and further trends in the construction sector is quite difficult in the current situation, and the occurrence of circumstances that objectively disrupt the work schedule cannot be ruled out in advance. This means that, as the Customer, we are regularly informed about the current situation on the construction site, we monitor the development of material availability and evaluate possible risks that could ultimately affect the construction deadline.</w:t>
              <w:br/>
              <w:t xml:space="preserve"/>
            </w:r>
          </w:p>
        </w:tc>
      </w:tr>
    </w:tbl>
    <w:p w:rsidR="00C12C1A" w:rsidRDefault="00C12C1A"/>
    <w:p w:rsidR="00315323" w:rsidRDefault="00315323">
      <w:pPr>
        <w:spacing w:after="0" w:line="240" w:lineRule="auto"/>
      </w:pPr>
      <w:r>
        <w:br w:type="page"/>
      </w:r>
    </w:p>
    <w:p w:rsidR="0040170C" w:rsidRDefault="0040170C"/>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shd w:color="auto" w:fill="FFFFFF" w:val="clear"/>
        <w:tblLayout w:type="fixed"/>
        <w:tblLook w:firstColumn="0" w:firstRow="0" w:lastColumn="0" w:lastRow="0" w:noHBand="0" w:noVBand="0" w:val="0000"/>
      </w:tblPr>
      <w:tblGrid>
        <w:gridCol w:w="9242"/>
      </w:tblGrid>
      <w:tr w:rsidR="00315323" w:rsidRPr="00187B31" w:rsidTr="0018280C">
        <w:trPr>
          <w:trHeight w:val="412"/>
          <w:jc w:val="center"/>
        </w:trPr>
        <w:tc>
          <w:tcPr>
            <w:tcW w:type="dxa" w:w="9594"/>
            <w:shd w:color="auto" w:fill="99CCFF" w:val="clear"/>
            <w:tcMar>
              <w:top w:type="dxa" w:w="113"/>
              <w:bottom w:type="dxa" w:w="113"/>
            </w:tcMar>
          </w:tcPr>
          <w:p w:rsidP="0018280C" w:rsidR="00315323" w:rsidRDefault="00315323" w:rsidRPr="00FA3FBF">
            <w:pPr>
              <w:snapToGrid w:val="0"/>
              <w:spacing w:after="120" w:before="120"/>
              <w:ind w:left="113" w:right="-19"/>
              <w:rPr>
                <w:rFonts w:ascii="Verdana" w:hAnsi="Verdana"/>
                <w:b/>
                <w:spacing w:val="-10"/>
                <w:sz w:val="32"/>
                <w:szCs w:val="32"/>
              </w:rPr>
            </w:pPr>
            <w:r w:rsidRPr="00FA3FBF">
              <w:rPr>
                <w:rFonts w:ascii="Verdana" w:hAnsi="Verdana"/>
                <w:b/>
                <w:spacing w:val="-10"/>
                <w:sz w:val="32"/>
                <w:szCs w:val="32"/>
              </w:rPr>
              <w:t xml:space="preserve">3. </w:t>
            </w:r>
            <w:r w:rsidRPr="00187B31">
              <w:rPr>
                <w:rFonts w:ascii="Verdana" w:hAnsi="Verdana"/>
                <w:b/>
                <w:spacing w:val="-10"/>
                <w:sz w:val="18"/>
              </w:rPr>
              <w:t xml:space="preserve"> </w:t>
            </w:r>
            <w:r w:rsidRPr="00187B31">
              <w:rPr>
                <w:rFonts w:ascii="Verdana" w:hAnsi="Verdana"/>
                <w:b/>
                <w:spacing w:val="-10"/>
                <w:sz w:val="32"/>
                <w:szCs w:val="32"/>
              </w:rPr>
              <w:t>VISIBILITY OF UNION FUNDING</w:t>
            </w:r>
            <w:r>
              <w:rPr>
                <w:rFonts w:ascii="Verdana" w:hAnsi="Verdana"/>
                <w:b/>
                <w:spacing w:val="-10"/>
                <w:sz w:val="32"/>
                <w:szCs w:val="32"/>
              </w:rPr>
              <w:t xml:space="preserve"> </w:t>
            </w:r>
            <w:r w:rsidRPr="006A511D">
              <w:rPr>
                <w:rFonts w:ascii="Verdana" w:hAnsi="Verdana"/>
                <w:b/>
                <w:spacing w:val="-10"/>
                <w:sz w:val="24"/>
                <w:szCs w:val="32"/>
              </w:rPr>
              <w:t>(GA II.23.1.1.i</w:t>
            </w:r>
            <w:r>
              <w:rPr>
                <w:rFonts w:ascii="Verdana" w:hAnsi="Verdana"/>
                <w:b/>
                <w:spacing w:val="-10"/>
                <w:sz w:val="24"/>
                <w:szCs w:val="32"/>
              </w:rPr>
              <w:t xml:space="preserve">   or SESAR FPA II.23.1b.i</w:t>
            </w:r>
            <w:r w:rsidRPr="006A511D">
              <w:rPr>
                <w:rFonts w:ascii="Verdana" w:hAnsi="Verdana"/>
                <w:b/>
                <w:spacing w:val="-10"/>
                <w:sz w:val="24"/>
                <w:szCs w:val="32"/>
              </w:rPr>
              <w:t>)</w:t>
            </w:r>
          </w:p>
        </w:tc>
      </w:tr>
    </w:tbl>
    <w:p w:rsidR="00315323" w:rsidRDefault="00315323"/>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315323" w:rsidRPr="00187B31" w:rsidTr="00BF4E76">
        <w:trPr>
          <w:trHeight w:val="264"/>
          <w:jc w:val="center"/>
        </w:trPr>
        <w:tc>
          <w:tcPr>
            <w:tcW w:type="dxa" w:w="9594"/>
            <w:shd w:color="auto" w:fill="99CCFF" w:val="clear"/>
            <w:tcMar>
              <w:top w:type="dxa" w:w="85"/>
              <w:bottom w:type="dxa" w:w="85"/>
            </w:tcMar>
          </w:tcPr>
          <w:p w:rsidP="0018280C" w:rsidR="00315323" w:rsidRDefault="00315323" w:rsidRPr="00187B31">
            <w:pPr>
              <w:keepNext/>
              <w:spacing w:after="120" w:before="120"/>
              <w:ind w:left="113"/>
              <w:rPr>
                <w:rFonts w:ascii="Verdana" w:hAnsi="Verdana"/>
                <w:b/>
                <w:spacing w:val="-10"/>
              </w:rPr>
            </w:pPr>
            <w:r w:rsidRPr="00187B31">
              <w:rPr>
                <w:rFonts w:ascii="Verdana" w:hAnsi="Verdana"/>
                <w:b/>
                <w:spacing w:val="-10"/>
              </w:rPr>
              <w:t xml:space="preserve">What measures have been taken </w:t>
            </w:r>
            <w:r>
              <w:rPr>
                <w:rFonts w:ascii="Verdana" w:hAnsi="Verdana"/>
                <w:b/>
                <w:spacing w:val="-10"/>
              </w:rPr>
              <w:t>within the</w:t>
            </w:r>
            <w:r w:rsidR="002E2FFD">
              <w:rPr>
                <w:rFonts w:ascii="Verdana" w:hAnsi="Verdana"/>
                <w:b/>
                <w:spacing w:val="-10"/>
              </w:rPr>
              <w:t xml:space="preserve"> previous</w:t>
            </w:r>
            <w:r>
              <w:rPr>
                <w:rFonts w:ascii="Verdana" w:hAnsi="Verdana"/>
                <w:b/>
                <w:spacing w:val="-10"/>
              </w:rPr>
              <w:t xml:space="preserve"> reporting period </w:t>
            </w:r>
            <w:r w:rsidR="00462537">
              <w:rPr>
                <w:rFonts w:ascii="Verdana" w:hAnsi="Verdana"/>
                <w:b/>
                <w:spacing w:val="-10"/>
              </w:rPr>
              <w:t>to publicis</w:t>
            </w:r>
            <w:r w:rsidRPr="00187B31">
              <w:rPr>
                <w:rFonts w:ascii="Verdana" w:hAnsi="Verdana"/>
                <w:b/>
                <w:spacing w:val="-10"/>
              </w:rPr>
              <w:t>e the Action,</w:t>
            </w:r>
            <w:r>
              <w:rPr>
                <w:rFonts w:ascii="Verdana" w:hAnsi="Verdana"/>
                <w:b/>
                <w:spacing w:val="-10"/>
              </w:rPr>
              <w:t xml:space="preserve"> including EU</w:t>
            </w:r>
            <w:r w:rsidRPr="00187B31">
              <w:rPr>
                <w:rFonts w:ascii="Verdana" w:hAnsi="Verdana"/>
                <w:b/>
                <w:spacing w:val="-10"/>
              </w:rPr>
              <w:t xml:space="preserve"> funding (GA II.7.1)?</w:t>
            </w:r>
          </w:p>
        </w:tc>
      </w:tr>
      <w:tr w:rsidR="00315323" w:rsidRPr="00187B31" w:rsidTr="00BF4E76">
        <w:trPr>
          <w:trHeight w:val="1669"/>
          <w:jc w:val="center"/>
        </w:trPr>
        <w:tc>
          <w:tcPr>
            <w:tcW w:type="dxa" w:w="9594"/>
            <w:tcMar>
              <w:top w:type="dxa" w:w="85"/>
              <w:bottom w:type="dxa" w:w="85"/>
            </w:tcMar>
          </w:tcPr>
          <w:p w:rsidP="0061142E" w:rsidR="00315323" w:rsidRDefault="00136AD4" w:rsidRPr="00187B31">
            <w:pPr>
              <w:spacing w:after="120" w:before="120"/>
              <w:ind w:left="113"/>
              <w:rPr>
                <w:rFonts w:ascii="Verdana" w:hAnsi="Verdana"/>
                <w:spacing w:val="-10"/>
              </w:rPr>
            </w:pPr>
            <w:r>
              <w:rPr>
                <w:rFonts w:ascii="Verdana" w:hAnsi="Verdana"/>
                <w:noProof/>
                <w:spacing w:val="-10"/>
              </w:rPr>
              <w:t>The information on the Action is published on the official website of the Slovak Railways, in the section: Verejnosť a médiá / Modernizácia tratí / Projekty spolufinancované EÚ / Stavby v realizácii / Modernizácia železničnej trate Žilina – Košice, úsek Liptovský Mikuláš – Poprad Tatry (mimo), 1. etapa (Poprad – Lučivná) ( https://www.zsr.sk/5104/ ) ensuring appropriate / high visibility to the EU co-financing.</w:t>
              <w:br/>
              <w:t xml:space="preserve"/>
              <w:br/>
              <w:t xml:space="preserve">The information is updated regularly four times a year at the end of March, June, September and December (see Annex 8).</w:t>
              <w:br/>
              <w:t xml:space="preserve"/>
            </w:r>
          </w:p>
        </w:tc>
      </w:tr>
    </w:tbl>
    <w:p w:rsidR="00315323" w:rsidRDefault="00315323"/>
    <w:p w:rsidR="00315323" w:rsidRDefault="00315323"/>
    <w:tbl>
      <w:tblPr>
        <w:tblpPr w:horzAnchor="margin" w:leftFromText="180" w:rightFromText="180" w:tblpXSpec="center" w:tblpY="123" w:vertAnchor="text"/>
        <w:tblW w:type="pct" w:w="5000"/>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shd w:color="auto" w:fill="FFFFFF" w:val="clear"/>
        <w:tblLayout w:type="fixed"/>
        <w:tblLook w:firstColumn="0" w:firstRow="0" w:lastColumn="0" w:lastRow="0" w:noHBand="0" w:noVBand="0" w:val="0000"/>
      </w:tblPr>
      <w:tblGrid>
        <w:gridCol w:w="9242"/>
      </w:tblGrid>
      <w:tr w:rsidR="00315323" w:rsidRPr="00187B31" w:rsidTr="00112088">
        <w:trPr>
          <w:trHeight w:val="412"/>
        </w:trPr>
        <w:tc>
          <w:tcPr>
            <w:tcW w:type="dxa" w:w="9594"/>
            <w:shd w:color="auto" w:fill="99CCFF" w:val="clear"/>
            <w:tcMar>
              <w:top w:type="dxa" w:w="113"/>
              <w:bottom w:type="dxa" w:w="113"/>
            </w:tcMar>
          </w:tcPr>
          <w:p w:rsidP="00887EE8" w:rsidR="00315323" w:rsidRDefault="00315323" w:rsidRPr="00E14AB2">
            <w:pPr>
              <w:snapToGrid w:val="0"/>
              <w:spacing w:after="120" w:before="120"/>
              <w:ind w:left="113" w:right="-19"/>
              <w:rPr>
                <w:rFonts w:ascii="Verdana" w:hAnsi="Verdana"/>
                <w:b/>
                <w:spacing w:val="-10"/>
                <w:sz w:val="32"/>
                <w:szCs w:val="32"/>
              </w:rPr>
            </w:pPr>
            <w:r w:rsidRPr="00E14AB2">
              <w:rPr>
                <w:rFonts w:ascii="Verdana" w:hAnsi="Verdana"/>
                <w:b/>
                <w:spacing w:val="-10"/>
                <w:sz w:val="32"/>
                <w:szCs w:val="32"/>
              </w:rPr>
              <w:t xml:space="preserve">4. </w:t>
            </w:r>
            <w:r w:rsidRPr="00187B31">
              <w:rPr>
                <w:rFonts w:ascii="Verdana" w:hAnsi="Verdana"/>
                <w:b/>
                <w:spacing w:val="-10"/>
                <w:sz w:val="18"/>
              </w:rPr>
              <w:t xml:space="preserve"> </w:t>
            </w:r>
            <w:r>
              <w:rPr>
                <w:rFonts w:ascii="Verdana" w:hAnsi="Verdana"/>
                <w:b/>
                <w:spacing w:val="-10"/>
                <w:sz w:val="32"/>
                <w:szCs w:val="32"/>
              </w:rPr>
              <w:t xml:space="preserve">OTHER SOURCES OF EUROPEAN UNION FUNDS </w:t>
            </w:r>
            <w:r w:rsidRPr="006A511D">
              <w:rPr>
                <w:rFonts w:ascii="Verdana" w:hAnsi="Verdana"/>
                <w:b/>
                <w:spacing w:val="-10"/>
                <w:sz w:val="24"/>
                <w:szCs w:val="32"/>
              </w:rPr>
              <w:t xml:space="preserve">(CEF-E </w:t>
            </w:r>
            <w:r w:rsidR="00500527">
              <w:rPr>
                <w:rFonts w:ascii="Verdana" w:hAnsi="Verdana"/>
                <w:b/>
                <w:spacing w:val="-10"/>
                <w:sz w:val="24"/>
                <w:szCs w:val="32"/>
              </w:rPr>
              <w:t xml:space="preserve">and Synergy </w:t>
            </w:r>
            <w:r w:rsidRPr="006A511D">
              <w:rPr>
                <w:rFonts w:ascii="Verdana" w:hAnsi="Verdana"/>
                <w:b/>
                <w:spacing w:val="-10"/>
                <w:sz w:val="24"/>
                <w:szCs w:val="32"/>
              </w:rPr>
              <w:t>only, GA II.23.1.1.m</w:t>
            </w:r>
            <w:r>
              <w:rPr>
                <w:rFonts w:ascii="Verdana" w:hAnsi="Verdana"/>
                <w:b/>
                <w:spacing w:val="-10"/>
                <w:sz w:val="24"/>
                <w:szCs w:val="32"/>
              </w:rPr>
              <w:t xml:space="preserve"> </w:t>
            </w:r>
            <w:r w:rsidRPr="006A511D">
              <w:rPr>
                <w:rFonts w:ascii="Verdana" w:hAnsi="Verdana"/>
                <w:b/>
                <w:spacing w:val="-10"/>
                <w:sz w:val="24"/>
                <w:szCs w:val="32"/>
              </w:rPr>
              <w:t>)</w:t>
            </w:r>
          </w:p>
        </w:tc>
      </w:tr>
    </w:tbl>
    <w:p w:rsidR="00315323" w:rsidRDefault="00315323"/>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315323" w:rsidRPr="00187B31" w:rsidTr="00112088">
        <w:trPr>
          <w:trHeight w:val="264"/>
          <w:jc w:val="center"/>
        </w:trPr>
        <w:tc>
          <w:tcPr>
            <w:tcW w:type="dxa" w:w="9594"/>
            <w:shd w:color="auto" w:fill="99CCFF" w:val="clear"/>
            <w:tcMar>
              <w:top w:type="dxa" w:w="85"/>
              <w:bottom w:type="dxa" w:w="85"/>
            </w:tcMar>
          </w:tcPr>
          <w:p w:rsidP="0018280C" w:rsidR="00315323" w:rsidRDefault="00315323" w:rsidRPr="00187B31">
            <w:pPr>
              <w:keepNext/>
              <w:spacing w:after="120" w:before="120"/>
              <w:ind w:left="113"/>
              <w:rPr>
                <w:rFonts w:ascii="Verdana" w:hAnsi="Verdana"/>
                <w:b/>
                <w:spacing w:val="-10"/>
              </w:rPr>
            </w:pPr>
            <w:r>
              <w:rPr>
                <w:rFonts w:ascii="Verdana" w:hAnsi="Verdana"/>
                <w:b/>
                <w:spacing w:val="-10"/>
              </w:rPr>
              <w:t>If applicable, provide information about other sources of EU funds (</w:t>
            </w:r>
            <w:r w:rsidRPr="00970224">
              <w:rPr>
                <w:rFonts w:ascii="Verdana" w:hAnsi="Verdana"/>
                <w:b/>
                <w:spacing w:val="-10"/>
              </w:rPr>
              <w:t>CEF, ERDF, Cohesion Fund, H2020, TEN, EEPR, EIPA, etc.</w:t>
            </w:r>
            <w:r>
              <w:rPr>
                <w:rFonts w:ascii="Verdana" w:hAnsi="Verdana"/>
                <w:b/>
                <w:spacing w:val="-10"/>
              </w:rPr>
              <w:t xml:space="preserve">) used for the project of common interest (e.g. previous or subsequent phases not covered by the Grant Agreement). </w:t>
            </w:r>
          </w:p>
        </w:tc>
      </w:tr>
      <w:tr w:rsidR="00315323" w:rsidRPr="00187B31" w:rsidTr="00112088">
        <w:trPr>
          <w:trHeight w:val="2180"/>
          <w:jc w:val="center"/>
        </w:trPr>
        <w:tc>
          <w:tcPr>
            <w:tcW w:type="dxa" w:w="9594"/>
            <w:tcMar>
              <w:top w:type="dxa" w:w="85"/>
              <w:bottom w:type="dxa" w:w="85"/>
            </w:tcMar>
          </w:tcPr>
          <w:p w:rsidP="0061142E" w:rsidR="00315323" w:rsidRDefault="00C80F64" w:rsidRPr="00187B31">
            <w:pPr>
              <w:spacing w:after="120" w:before="120"/>
              <w:ind w:left="113"/>
              <w:rPr>
                <w:rFonts w:ascii="Verdana" w:hAnsi="Verdana"/>
                <w:spacing w:val="-10"/>
              </w:rPr>
            </w:pPr>
            <w:r>
              <w:rPr>
                <w:rFonts w:ascii="Verdana" w:hAnsi="Verdana"/>
                <w:noProof/>
                <w:spacing w:val="-10"/>
              </w:rPr>
              <w:t>Not applicable</w:t>
            </w:r>
          </w:p>
        </w:tc>
      </w:tr>
    </w:tbl>
    <w:p w:rsidR="00315323" w:rsidRDefault="00315323"/>
    <w:p w:rsidR="000B112E" w:rsidRDefault="000B112E">
      <w:pPr>
        <w:spacing w:after="0" w:line="240" w:lineRule="auto"/>
      </w:pPr>
      <w:r>
        <w:br w:type="page"/>
      </w:r>
    </w:p>
    <w:p w:rsidR="000B112E" w:rsidRDefault="000B112E"/>
    <w:tbl>
      <w:tblPr>
        <w:tblpPr w:horzAnchor="margin" w:leftFromText="180" w:rightFromText="180" w:tblpXSpec="center" w:tblpY="123" w:vertAnchor="text"/>
        <w:tblW w:type="pct" w:w="5000"/>
        <w:jc w:val="center"/>
        <w:tblBorders>
          <w:top w:color="auto" w:space="0" w:sz="18" w:val="single"/>
          <w:left w:color="auto" w:space="0" w:sz="18" w:val="single"/>
          <w:bottom w:color="auto" w:space="0" w:sz="18" w:val="single"/>
          <w:right w:color="auto" w:space="0" w:sz="18" w:val="single"/>
          <w:insideH w:color="auto" w:space="0" w:sz="18" w:val="single"/>
          <w:insideV w:color="auto" w:space="0" w:sz="18" w:val="single"/>
        </w:tblBorders>
        <w:shd w:color="auto" w:fill="FFFFFF" w:val="clear"/>
        <w:tblLayout w:type="fixed"/>
        <w:tblLook w:firstColumn="0" w:firstRow="0" w:lastColumn="0" w:lastRow="0" w:noHBand="0" w:noVBand="0" w:val="0000"/>
      </w:tblPr>
      <w:tblGrid>
        <w:gridCol w:w="9242"/>
      </w:tblGrid>
      <w:tr w:rsidR="000B112E" w:rsidRPr="00014C3A" w:rsidTr="0018280C">
        <w:trPr>
          <w:trHeight w:val="412"/>
          <w:jc w:val="center"/>
        </w:trPr>
        <w:tc>
          <w:tcPr>
            <w:tcW w:type="dxa" w:w="9594"/>
            <w:shd w:color="auto" w:fill="99CCFF" w:val="clear"/>
            <w:tcMar>
              <w:top w:type="dxa" w:w="113"/>
              <w:bottom w:type="dxa" w:w="113"/>
            </w:tcMar>
          </w:tcPr>
          <w:p w:rsidP="0018280C" w:rsidR="000B112E" w:rsidRDefault="000B112E" w:rsidRPr="00014C3A">
            <w:pPr>
              <w:snapToGrid w:val="0"/>
              <w:spacing w:after="120" w:before="120"/>
              <w:ind w:left="113" w:right="-19"/>
              <w:rPr>
                <w:rFonts w:ascii="Verdana" w:hAnsi="Verdana"/>
                <w:b/>
                <w:spacing w:val="-10"/>
                <w:sz w:val="32"/>
                <w:szCs w:val="32"/>
              </w:rPr>
            </w:pPr>
            <w:r>
              <w:rPr>
                <w:rFonts w:ascii="Verdana" w:hAnsi="Verdana"/>
                <w:b/>
                <w:spacing w:val="-10"/>
                <w:sz w:val="32"/>
                <w:szCs w:val="32"/>
              </w:rPr>
              <w:t>5</w:t>
            </w:r>
            <w:r w:rsidRPr="00014C3A">
              <w:rPr>
                <w:rFonts w:ascii="Verdana" w:hAnsi="Verdana"/>
                <w:b/>
                <w:spacing w:val="-10"/>
                <w:sz w:val="32"/>
                <w:szCs w:val="32"/>
              </w:rPr>
              <w:t>. COMPLIANCE WITH EU LEGISLATION</w:t>
            </w:r>
            <w:r>
              <w:rPr>
                <w:rFonts w:ascii="Verdana" w:hAnsi="Verdana"/>
                <w:b/>
                <w:spacing w:val="-10"/>
                <w:sz w:val="32"/>
                <w:szCs w:val="32"/>
              </w:rPr>
              <w:t xml:space="preserve"> </w:t>
            </w:r>
            <w:r w:rsidRPr="006A511D">
              <w:rPr>
                <w:rFonts w:ascii="Verdana" w:hAnsi="Verdana"/>
                <w:b/>
                <w:spacing w:val="-10"/>
                <w:sz w:val="24"/>
                <w:szCs w:val="32"/>
              </w:rPr>
              <w:t>(GA.II.23.1.1g and h</w:t>
            </w:r>
            <w:r>
              <w:rPr>
                <w:rFonts w:ascii="Verdana" w:hAnsi="Verdana"/>
                <w:b/>
                <w:spacing w:val="-10"/>
                <w:sz w:val="24"/>
                <w:szCs w:val="32"/>
              </w:rPr>
              <w:t>,  or SESAR FPA II.23.1b.g and h</w:t>
            </w:r>
            <w:r w:rsidRPr="006A511D">
              <w:rPr>
                <w:rFonts w:ascii="Verdana" w:hAnsi="Verdana"/>
                <w:b/>
                <w:spacing w:val="-10"/>
                <w:sz w:val="24"/>
                <w:szCs w:val="32"/>
              </w:rPr>
              <w:t>)</w:t>
            </w:r>
          </w:p>
        </w:tc>
      </w:tr>
    </w:tbl>
    <w:p w:rsidR="000B112E" w:rsidRDefault="000B112E"/>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0B112E" w:rsidRPr="00014C3A" w:rsidTr="0018280C">
        <w:trPr>
          <w:trHeight w:val="264"/>
          <w:jc w:val="center"/>
        </w:trPr>
        <w:tc>
          <w:tcPr>
            <w:tcW w:type="dxa" w:w="9594"/>
            <w:shd w:color="auto" w:fill="99CCFF" w:val="clear"/>
            <w:tcMar>
              <w:top w:type="dxa" w:w="85"/>
              <w:bottom w:type="dxa" w:w="85"/>
            </w:tcMar>
          </w:tcPr>
          <w:p w:rsidP="0018280C" w:rsidR="000B112E" w:rsidRDefault="00462537" w:rsidRPr="00014C3A">
            <w:pPr>
              <w:keepNext/>
              <w:spacing w:after="120" w:before="120"/>
              <w:ind w:left="113"/>
              <w:rPr>
                <w:rFonts w:ascii="Verdana" w:hAnsi="Verdana"/>
                <w:b/>
                <w:spacing w:val="-10"/>
              </w:rPr>
            </w:pPr>
            <w:r w:rsidRPr="00191404">
              <w:rPr>
                <w:rFonts w:ascii="Verdana" w:hAnsi="Verdana"/>
                <w:b/>
                <w:spacing w:val="-10"/>
              </w:rPr>
              <w:t xml:space="preserve">5.1. </w:t>
            </w:r>
            <w:r>
              <w:rPr>
                <w:rFonts w:ascii="Verdana" w:hAnsi="Verdana"/>
                <w:b/>
                <w:spacing w:val="-10"/>
              </w:rPr>
              <w:t>O</w:t>
            </w:r>
            <w:r w:rsidRPr="00191404">
              <w:rPr>
                <w:rFonts w:ascii="Verdana" w:hAnsi="Verdana"/>
                <w:b/>
                <w:spacing w:val="-10"/>
              </w:rPr>
              <w:t>verview of environmental aspects, compliance with EU and national legislation, issues during the implementation of the Action and measures taken.</w:t>
            </w:r>
          </w:p>
        </w:tc>
      </w:tr>
      <w:tr w:rsidR="000B112E" w:rsidRPr="00014C3A" w:rsidTr="0018280C">
        <w:trPr>
          <w:trHeight w:val="1646"/>
          <w:jc w:val="center"/>
        </w:trPr>
        <w:tc>
          <w:tcPr>
            <w:tcW w:type="dxa" w:w="9594"/>
            <w:tcMar>
              <w:top w:type="dxa" w:w="85"/>
              <w:bottom w:type="dxa" w:w="85"/>
            </w:tcMar>
          </w:tcPr>
          <w:p w:rsidP="0061142E" w:rsidR="000B112E" w:rsidRDefault="00211767" w:rsidRPr="00014C3A">
            <w:pPr>
              <w:spacing w:after="120" w:before="120"/>
              <w:ind w:left="113"/>
              <w:rPr>
                <w:rFonts w:ascii="Verdana" w:hAnsi="Verdana"/>
                <w:spacing w:val="-10"/>
              </w:rPr>
            </w:pPr>
            <w:r>
              <w:rPr>
                <w:rFonts w:ascii="Verdana" w:hAnsi="Verdana"/>
                <w:noProof/>
                <w:spacing w:val="-10"/>
              </w:rPr>
              <w:t>The EIA consent decision was issued on 03/05/2018 and came into force on 04/06/2018 (see Annex 3.4 and Annex 3.5).</w:t>
              <w:br/>
              <w:t xml:space="preserve"/>
              <w:br/>
              <w:t xml:space="preserve">Protected territories, trees and species</w:t>
              <w:br/>
              <w:t xml:space="preserve">Action is at the 1st degree of nature and landscape protection in accordance with the Act of the National Council of the Slovak Republic No. 543/2002 Coll. on nature and landscape protection, as amended (hereinafter referred to as “Act 543/2002”). The evaluated section of the railway line does not directly affect any declared large-scale or small-scale protected territory or protective zones. </w:t>
              <w:br/>
              <w:t xml:space="preserve">Nearly in the whole section, the track is led in the immediate vicinity of the protective zone TANAP, the minimal distance of the southern border of the protective zone from the track is 15-40m. Other large-scale protected territories are situated more than 8 km from the track.</w:t>
              <w:br/>
              <w:t xml:space="preserve">In the territory affected by the proposed activity there is no tree protected in accordance with the Act 543/2002.</w:t>
              <w:br/>
              <w:t xml:space="preserve">Natura 2000</w:t>
              <w:br/>
              <w:t xml:space="preserve">Action does not affect any protected bird territory, no protected bird territory is situated in the affected territory nor in its vicinity.</w:t>
              <w:br/>
              <w:t xml:space="preserve">Measures for mitigating unfavourable impacts of the individual variants of the proposed Action on the environment will include the territorial-planning measures, the technical and technological measures, the organizational and operating measures as well as the compensation measures.</w:t>
              <w:br/>
              <w:t xml:space="preserve"/>
              <w:br/>
              <w:t xml:space="preserve">In places where the permissible noise values are exceeded, noise walls, earth walls, or additional individual measures are proposed (replacement of windows). Only temporary, short-term and insignificant adverse effects on a species of European importance were identified - the river otter that has built a dam on the river. For this reason, the earth body is waterlogged.</w:t>
              <w:br/>
              <w:t xml:space="preserve">In order to minimize possible risks during the implementation and operation of the activity, appropriate technological, technical and organizational preventive measures will be established in cooperation with representatives of nature and environmental protection TANAP (Annex 14).</w:t>
              <w:br/>
              <w:t xml:space="preserve"/>
            </w:r>
          </w:p>
        </w:tc>
      </w:tr>
    </w:tbl>
    <w:p w:rsidR="000B112E" w:rsidRDefault="000B112E"/>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0B112E" w:rsidRPr="00014C3A" w:rsidTr="0018280C">
        <w:trPr>
          <w:trHeight w:val="264"/>
          <w:jc w:val="center"/>
        </w:trPr>
        <w:tc>
          <w:tcPr>
            <w:tcW w:type="dxa" w:w="9594"/>
            <w:shd w:color="auto" w:fill="99CCFF" w:val="clear"/>
            <w:tcMar>
              <w:top w:type="dxa" w:w="85"/>
              <w:bottom w:type="dxa" w:w="85"/>
            </w:tcMar>
          </w:tcPr>
          <w:p w:rsidP="00462537" w:rsidR="00462537" w:rsidRDefault="00462537" w:rsidRPr="00191404">
            <w:pPr>
              <w:keepNext/>
              <w:spacing w:after="120" w:before="120"/>
              <w:ind w:left="113"/>
              <w:rPr>
                <w:rFonts w:ascii="Verdana" w:hAnsi="Verdana"/>
                <w:b/>
                <w:spacing w:val="-10"/>
              </w:rPr>
            </w:pPr>
            <w:r w:rsidRPr="00191404">
              <w:rPr>
                <w:rFonts w:ascii="Verdana" w:hAnsi="Verdana"/>
                <w:b/>
                <w:spacing w:val="-10"/>
              </w:rPr>
              <w:t>5.2. Where relevant, information on the compliance with EU legislation</w:t>
            </w:r>
            <w:r>
              <w:t xml:space="preserve"> </w:t>
            </w:r>
            <w:r w:rsidRPr="005C6642">
              <w:rPr>
                <w:rFonts w:ascii="Verdana" w:hAnsi="Verdana"/>
                <w:b/>
                <w:spacing w:val="-10"/>
              </w:rPr>
              <w:t>notably on procurement</w:t>
            </w:r>
            <w:r w:rsidRPr="00191404">
              <w:rPr>
                <w:rFonts w:ascii="Verdana" w:hAnsi="Verdana"/>
                <w:b/>
                <w:spacing w:val="-10"/>
              </w:rPr>
              <w:t xml:space="preserve">: </w:t>
            </w:r>
          </w:p>
          <w:p w:rsidP="00462537" w:rsidR="00462537" w:rsidRDefault="00462537" w:rsidRPr="00191404">
            <w:pPr>
              <w:keepNext/>
              <w:spacing w:after="120" w:before="120"/>
              <w:ind w:left="113"/>
              <w:rPr>
                <w:rFonts w:ascii="Verdana" w:hAnsi="Verdana"/>
                <w:b/>
                <w:spacing w:val="-10"/>
              </w:rPr>
            </w:pPr>
            <w:r w:rsidRPr="00191404">
              <w:rPr>
                <w:rFonts w:ascii="Verdana" w:hAnsi="Verdana"/>
                <w:b/>
                <w:spacing w:val="-10"/>
              </w:rPr>
              <w:t xml:space="preserve">- information on the contracts awarded </w:t>
            </w:r>
            <w:r w:rsidRPr="005C6642">
              <w:rPr>
                <w:rFonts w:ascii="Verdana" w:hAnsi="Verdana"/>
                <w:b/>
                <w:spacing w:val="-10"/>
              </w:rPr>
              <w:t xml:space="preserve">or planned </w:t>
            </w:r>
            <w:r w:rsidRPr="00191404">
              <w:rPr>
                <w:rFonts w:ascii="Verdana" w:hAnsi="Verdana"/>
                <w:b/>
                <w:spacing w:val="-10"/>
              </w:rPr>
              <w:t>for the implementation of the Action and on compliance with the requirements set out in GA II.9 and II.10</w:t>
            </w:r>
          </w:p>
          <w:p w:rsidP="00462537" w:rsidR="000B112E" w:rsidRDefault="00462537" w:rsidRPr="00014C3A">
            <w:pPr>
              <w:keepNext/>
              <w:spacing w:after="120" w:before="120"/>
              <w:ind w:left="113"/>
              <w:rPr>
                <w:rFonts w:ascii="Verdana" w:hAnsi="Verdana"/>
                <w:b/>
                <w:spacing w:val="-10"/>
              </w:rPr>
            </w:pPr>
            <w:r w:rsidRPr="00191404">
              <w:rPr>
                <w:rFonts w:ascii="Verdana" w:hAnsi="Verdana"/>
                <w:b/>
                <w:spacing w:val="-10"/>
              </w:rPr>
              <w:t>- regarding other matters, notably public procurement, competition, regulatory matters, (CEF-E only) the update of the CBCA decision, etc.</w:t>
            </w:r>
          </w:p>
        </w:tc>
      </w:tr>
      <w:tr w:rsidR="000B112E" w:rsidRPr="00014C3A" w:rsidTr="0018280C">
        <w:trPr>
          <w:trHeight w:val="1215"/>
          <w:jc w:val="center"/>
        </w:trPr>
        <w:tc>
          <w:tcPr>
            <w:tcW w:type="dxa" w:w="9594"/>
            <w:tcMar>
              <w:top w:type="dxa" w:w="85"/>
              <w:bottom w:type="dxa" w:w="85"/>
            </w:tcMar>
          </w:tcPr>
          <w:p w:rsidP="0061142E" w:rsidR="000B112E" w:rsidRDefault="00211767" w:rsidRPr="00014C3A">
            <w:pPr>
              <w:spacing w:after="120" w:before="120"/>
              <w:ind w:left="113"/>
              <w:rPr>
                <w:rFonts w:ascii="Verdana" w:hAnsi="Verdana"/>
                <w:spacing w:val="-10"/>
              </w:rPr>
            </w:pPr>
            <w:r>
              <w:rPr>
                <w:rFonts w:ascii="Verdana" w:hAnsi="Verdana"/>
                <w:noProof/>
                <w:spacing w:val="-10"/>
              </w:rPr>
              <w:t>Activity 1</w:t>
              <w:br/>
              <w:t xml:space="preserve">Design documentation</w:t>
              <w:br/>
              <w:t xml:space="preserve">Drawing up the documentation for selection of a contractor was ensured by concluding the SECOND PARTIAL CONTRACT FOR WORK No. 22/06/0608/2 of 30 December 2007. Drawing up the documentation for construction execution of the part “Svit underpass” was ensured by concluding the Amendment No. 3 to the partial contract.</w:t>
              <w:br/>
              <w:t xml:space="preserve">The partial contract was concluded as a result of PP procedure pursuant to section 66 (2) (a) of Act No. 523/2003 Coll. on PP and on the change in Act No. 575/2001 Coll. on organization of government activity and organization of the central state administration, as amended. For using the “negotiated procedure without prior publication”, the statutory condition was met as it was the conclusion of the partial contract of the contract based on the valid framework contract. The designer was directly asked to negotiate about conditions of concluding this partial contract with which the FRAMEWORK CONTRACT FOR WORK No. 22/06/0608 of 9 May 2006 was concluded. This Framework Contract for Work was a result of the procedure “public tender” that was conducted pursuant to Act 523/2003 and on change in Act 575/2001.</w:t>
              <w:br/>
              <w:t xml:space="preserve">EIA</w:t>
              <w:br/>
              <w:t xml:space="preserve">The PP procedure concerning the contract called “Modernisation of the railway line Žilina – Košice, the section of the track Liptovský Mikuláš – Poprad – Tatry (excluded), the 1st stage and the 5th stage, the part EIA”, the subject-matter of which was drawing up and delivery of the EIA documentation was carried out according to the internal service manual, as the expected value of this contract (1st stage) was in the amount of EUR 59,200.00 excl. VAT, when the ŽSR as the provider was not obliged to proceed pursuant to Act No. 25/2006 Coll. on PP process and on change and supplementing of some acts, as amended, in the PP procedure.</w:t>
              <w:br/>
              <w:t xml:space="preserve">Section 1 (2) (s) of this Act stipulates, as quoted: “This Act does not apply to awarding of civic contract by the provider, the price excl. VAT of which is lower than the financial limit pursuant to section 4 (2), except for awarding contracts pursuant to section 7”. The financial limit pursuant to section 4 (2) of this Act for above-the-threshold contract was equal or higher than EUR 414,000 excl. VAT at the time of implementation of this PP procedure.</w:t>
              <w:br/>
              <w:t xml:space="preserve">For drawing up and delivery of the EIA documentation the REMING CONSULT a.s. company (author of technical materials for the EIA documentation, the original EIA of 2006 and the design documentation) was contacted.</w:t>
              <w:br/>
              <w:t xml:space="preserve">The result of the PP was conclusion of the Works Contract No.1100067976/2016/5400/033 of 27 October 2016. </w:t>
              <w:br/>
              <w:t xml:space="preserve"/>
              <w:br/>
              <w:t xml:space="preserve">Activity 4 </w:t>
              <w:br/>
              <w:t xml:space="preserve">Milestone 15</w:t>
              <w:br/>
              <w:t xml:space="preserve">The contract was awarded within re-opening of the tender under a concluded framework agreement (dated 24/07/2017 effective from 27/07/2017) by sending the call for tenders on 10/09/2018 to all 9 participants. </w:t>
              <w:br/>
              <w:t xml:space="preserve">Milestone 16 </w:t>
              <w:br/>
              <w:t xml:space="preserve">The Partial Contract for the provision of service no. 2018/SD/2 (signed on 30/07/2020, entered into force on 31/07/2020).</w:t>
              <w:br/>
              <w:t xml:space="preserve">Contractor: ERPOS, spol. s r.o. </w:t>
              <w:br/>
              <w:t xml:space="preserve">(Estimated) contract value: 2,272,489.08  EUR (excl. VAT) </w:t>
              <w:br/>
              <w:t xml:space="preserve">Type of tendering procedure: open procedure</w:t>
              <w:br/>
              <w:t xml:space="preserve">Milestone 17 </w:t>
              <w:br/>
              <w:t xml:space="preserve">On 28/06/2017 the notice of PP publication was sent to OJ: http://ted.europa.eu/udl?uri=TED:NOTICE:248592-2017:TEXT:SK:HTML </w:t>
              <w:br/>
              <w:t xml:space="preserve">Milestone 18 </w:t>
              <w:br/>
              <w:t xml:space="preserve">The work contract no. ZOD/17053/001 (signed on 11/06/2020, entered into force on 12/06/2020).</w:t>
              <w:br/>
              <w:t xml:space="preserve">Contractor:</w:t>
              <w:tab/>
              <w:t xml:space="preserve">„Združenie Tatry 2017“, Leading member: TSS GRADE, a.s.; members: Doprastav, a.s., TEMPRA, s.r.o.</w:t>
              <w:br/>
              <w:t xml:space="preserve">The value of the contract: 97,482,977.95 EUR (excl. VAT) </w:t>
              <w:br/>
              <w:t xml:space="preserve">Type of tendering procedure: Open procedure</w:t>
              <w:br/>
              <w:t xml:space="preserve">Milestone 20</w:t>
              <w:br/>
              <w:t xml:space="preserve">The work contract no. Z202013343_Z (signed on 24/06/2020, entered into force on 25/06/2020).</w:t>
              <w:br/>
              <w:t xml:space="preserve">Contractor:</w:t>
              <w:tab/>
              <w:t xml:space="preserve">Pixel Print s.r.o.</w:t>
              <w:br/>
              <w:t xml:space="preserve">The value of the contract: 219.00 EUR (excl. VAT) </w:t>
              <w:br/>
              <w:t xml:space="preserve">Type of tendering procedure: Open procedure</w:t>
              <w:br/>
              <w:t xml:space="preserve"/>
            </w:r>
          </w:p>
        </w:tc>
      </w:tr>
    </w:tbl>
    <w:p w:rsidR="000B112E" w:rsidRDefault="000B112E"/>
    <w:p w:rsidP="005A7064" w:rsidR="000B112E" w:rsidRDefault="000B112E">
      <w:pPr>
        <w:spacing w:after="0" w:line="240" w:lineRule="auto"/>
      </w:pPr>
      <w:r>
        <w:br w:type="page"/>
      </w:r>
    </w:p>
    <w:tbl>
      <w:tblPr>
        <w:tblpPr w:horzAnchor="margin" w:leftFromText="180" w:rightFromText="180" w:tblpXSpec="center" w:tblpY="123" w:vertAnchor="text"/>
        <w:tblW w:type="pct" w:w="5000"/>
        <w:jc w:val="center"/>
        <w:tblBorders>
          <w:top w:color="auto" w:space="0" w:sz="18" w:val="single"/>
          <w:left w:color="auto" w:space="0" w:sz="18" w:val="single"/>
          <w:bottom w:color="auto" w:space="0" w:sz="18" w:val="single"/>
          <w:right w:color="auto" w:space="0" w:sz="18" w:val="single"/>
          <w:insideH w:color="auto" w:space="0" w:sz="18" w:val="single"/>
          <w:insideV w:color="auto" w:space="0" w:sz="18" w:val="single"/>
        </w:tblBorders>
        <w:shd w:color="auto" w:fill="FFFFFF" w:val="clear"/>
        <w:tblLayout w:type="fixed"/>
        <w:tblLook w:firstColumn="0" w:firstRow="0" w:lastColumn="0" w:lastRow="0" w:noHBand="0" w:noVBand="0" w:val="0000"/>
      </w:tblPr>
      <w:tblGrid>
        <w:gridCol w:w="9242"/>
      </w:tblGrid>
      <w:tr w:rsidR="00F27E39" w:rsidRPr="00014C3A" w:rsidTr="0018280C">
        <w:trPr>
          <w:trHeight w:val="412"/>
          <w:jc w:val="center"/>
        </w:trPr>
        <w:tc>
          <w:tcPr>
            <w:tcW w:type="dxa" w:w="9594"/>
            <w:shd w:color="auto" w:fill="99CCFF" w:val="clear"/>
            <w:tcMar>
              <w:top w:type="dxa" w:w="113"/>
              <w:bottom w:type="dxa" w:w="113"/>
            </w:tcMar>
          </w:tcPr>
          <w:p w:rsidP="0018280C" w:rsidR="00F27E39" w:rsidRDefault="00F27E39" w:rsidRPr="00014C3A">
            <w:pPr>
              <w:snapToGrid w:val="0"/>
              <w:spacing w:after="120" w:before="120"/>
              <w:ind w:left="113" w:right="-19"/>
              <w:rPr>
                <w:rFonts w:ascii="Verdana" w:hAnsi="Verdana"/>
                <w:b/>
                <w:spacing w:val="-10"/>
                <w:sz w:val="32"/>
                <w:szCs w:val="32"/>
              </w:rPr>
            </w:pPr>
            <w:r>
              <w:rPr>
                <w:rFonts w:ascii="Verdana" w:hAnsi="Verdana"/>
                <w:b/>
                <w:spacing w:val="-10"/>
                <w:sz w:val="32"/>
                <w:szCs w:val="32"/>
              </w:rPr>
              <w:lastRenderedPageBreak/>
              <w:t>6</w:t>
            </w:r>
            <w:r w:rsidRPr="00014C3A">
              <w:rPr>
                <w:rFonts w:ascii="Verdana" w:hAnsi="Verdana"/>
                <w:b/>
                <w:spacing w:val="-10"/>
                <w:sz w:val="32"/>
                <w:szCs w:val="32"/>
              </w:rPr>
              <w:t xml:space="preserve">. </w:t>
            </w:r>
            <w:r>
              <w:rPr>
                <w:rFonts w:ascii="Verdana" w:hAnsi="Verdana"/>
                <w:b/>
                <w:spacing w:val="-10"/>
                <w:sz w:val="32"/>
                <w:szCs w:val="32"/>
              </w:rPr>
              <w:t>IMPLEMENTATION SCHEDULE, GOVERNANCE AND MONITORING</w:t>
            </w:r>
            <w:r w:rsidRPr="006A511D">
              <w:rPr>
                <w:rFonts w:ascii="Verdana" w:hAnsi="Verdana"/>
                <w:b/>
                <w:spacing w:val="-10"/>
                <w:sz w:val="32"/>
                <w:szCs w:val="32"/>
              </w:rPr>
              <w:t xml:space="preserve">, OTHER RELEVANT ADMINISTRATIVE PROVISIONS </w:t>
            </w:r>
            <w:r w:rsidRPr="006A511D">
              <w:rPr>
                <w:rFonts w:ascii="Verdana" w:hAnsi="Verdana"/>
                <w:b/>
                <w:spacing w:val="-10"/>
                <w:sz w:val="24"/>
                <w:szCs w:val="32"/>
              </w:rPr>
              <w:t>(GA II.23.1.1.k and l</w:t>
            </w:r>
            <w:r>
              <w:rPr>
                <w:rFonts w:ascii="Verdana" w:hAnsi="Verdana"/>
                <w:b/>
                <w:spacing w:val="-10"/>
                <w:sz w:val="24"/>
                <w:szCs w:val="32"/>
              </w:rPr>
              <w:t>,  or SESAR FPA II.23.1b.k and l</w:t>
            </w:r>
            <w:r w:rsidRPr="006A511D">
              <w:rPr>
                <w:rFonts w:ascii="Verdana" w:hAnsi="Verdana"/>
                <w:b/>
                <w:spacing w:val="-10"/>
                <w:sz w:val="24"/>
                <w:szCs w:val="32"/>
              </w:rPr>
              <w:t>)</w:t>
            </w:r>
          </w:p>
        </w:tc>
      </w:tr>
    </w:tbl>
    <w:p w:rsidR="00F27E39" w:rsidRDefault="00F27E39"/>
    <w:tbl>
      <w:tblPr>
        <w:tblW w:type="pct" w:w="4992"/>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27"/>
      </w:tblGrid>
      <w:tr w:rsidR="001E0C6D" w:rsidRPr="00014C3A" w:rsidTr="00CA70A8">
        <w:trPr>
          <w:trHeight w:val="264"/>
          <w:jc w:val="center"/>
        </w:trPr>
        <w:tc>
          <w:tcPr>
            <w:tcW w:type="dxa" w:w="9227"/>
            <w:shd w:color="auto" w:fill="99CCFF" w:val="clear"/>
            <w:tcMar>
              <w:top w:type="dxa" w:w="85"/>
              <w:bottom w:type="dxa" w:w="85"/>
            </w:tcMar>
          </w:tcPr>
          <w:p w:rsidP="0018280C" w:rsidR="001E0C6D" w:rsidRDefault="001E0C6D" w:rsidRPr="00014C3A">
            <w:pPr>
              <w:keepNext/>
              <w:spacing w:after="120" w:before="120"/>
              <w:rPr>
                <w:rFonts w:ascii="Verdana" w:hAnsi="Verdana"/>
                <w:b/>
                <w:spacing w:val="-10"/>
              </w:rPr>
            </w:pPr>
            <w:r w:rsidRPr="00FA3FBF">
              <w:rPr>
                <w:rFonts w:ascii="Verdana" w:hAnsi="Verdana"/>
                <w:b/>
                <w:spacing w:val="-10"/>
              </w:rPr>
              <w:t xml:space="preserve">6.1. </w:t>
            </w:r>
            <w:r w:rsidRPr="00FA3FBF">
              <w:rPr>
                <w:rFonts w:ascii="Verdana" w:hAnsi="Verdana"/>
                <w:b/>
                <w:spacing w:val="-10"/>
                <w:u w:val="single"/>
              </w:rPr>
              <w:t>In the first ASR</w:t>
            </w:r>
            <w:r w:rsidRPr="00FA3FBF">
              <w:rPr>
                <w:rFonts w:ascii="Verdana" w:hAnsi="Verdana"/>
                <w:b/>
                <w:spacing w:val="-10"/>
              </w:rPr>
              <w:t xml:space="preserve">, information on implementation schedule, such as critical path, key performance rates and risk analysis; </w:t>
            </w:r>
            <w:r w:rsidRPr="00FA3FBF">
              <w:rPr>
                <w:rFonts w:ascii="Verdana" w:hAnsi="Verdana"/>
                <w:b/>
                <w:spacing w:val="-10"/>
                <w:u w:val="single"/>
              </w:rPr>
              <w:t>in subsequent ASR</w:t>
            </w:r>
            <w:r w:rsidRPr="00FA3FBF">
              <w:rPr>
                <w:rFonts w:ascii="Verdana" w:hAnsi="Verdana"/>
                <w:b/>
                <w:spacing w:val="-10"/>
              </w:rPr>
              <w:t>, information on any modifications and, if applicable, on the progress of the implementation of the arrangements referred to in previous ASR. If there are changes in the Action timetable as compared to the l</w:t>
            </w:r>
            <w:r>
              <w:rPr>
                <w:rFonts w:ascii="Verdana" w:hAnsi="Verdana"/>
                <w:b/>
                <w:spacing w:val="-10"/>
              </w:rPr>
              <w:t>a</w:t>
            </w:r>
            <w:r w:rsidRPr="00FA3FBF">
              <w:rPr>
                <w:rFonts w:ascii="Verdana" w:hAnsi="Verdana"/>
                <w:b/>
                <w:spacing w:val="-10"/>
              </w:rPr>
              <w:t xml:space="preserve">test planning (Grant Agreement or </w:t>
            </w:r>
            <w:r>
              <w:rPr>
                <w:rFonts w:ascii="Verdana" w:hAnsi="Verdana"/>
                <w:b/>
                <w:spacing w:val="-10"/>
              </w:rPr>
              <w:t>previous</w:t>
            </w:r>
            <w:r w:rsidRPr="00FA3FBF">
              <w:rPr>
                <w:rFonts w:ascii="Verdana" w:hAnsi="Verdana"/>
                <w:b/>
                <w:spacing w:val="-10"/>
              </w:rPr>
              <w:t xml:space="preserve"> ASR), attach an updated Gantt chart.</w:t>
            </w:r>
          </w:p>
        </w:tc>
      </w:tr>
      <w:tr w:rsidR="001E0C6D" w:rsidRPr="00014C3A" w:rsidTr="00CA70A8">
        <w:trPr>
          <w:trHeight w:val="664"/>
          <w:jc w:val="center"/>
        </w:trPr>
        <w:tc>
          <w:tcPr>
            <w:tcW w:type="dxa" w:w="9227"/>
            <w:tcMar>
              <w:top w:type="dxa" w:w="85"/>
              <w:bottom w:type="dxa" w:w="85"/>
            </w:tcMar>
          </w:tcPr>
          <w:p w:rsidP="0061142E" w:rsidR="001E0C6D" w:rsidRDefault="00EB61FF" w:rsidRPr="00014C3A">
            <w:pPr>
              <w:spacing w:after="120" w:before="120"/>
              <w:ind w:left="113"/>
              <w:rPr>
                <w:rFonts w:ascii="Verdana" w:hAnsi="Verdana"/>
                <w:spacing w:val="-10"/>
              </w:rPr>
            </w:pPr>
            <w:r>
              <w:rPr>
                <w:rFonts w:ascii="Verdana" w:hAnsi="Verdana"/>
                <w:noProof/>
                <w:spacing w:val="-10"/>
              </w:rPr>
              <w:t>Action's planned implementation technical progress (cumulated %) is enclosed in the table in Annex 9. </w:t>
              <w:br/>
              <w:t xml:space="preserve"/>
              <w:br/>
              <w:t xml:space="preserve">The Gantt chart of the updated Action timetable is enclosed in Annex 10.</w:t>
              <w:br/>
              <w:t xml:space="preserve"/>
            </w:r>
          </w:p>
        </w:tc>
      </w:tr>
    </w:tbl>
    <w:p w:rsidR="00CA70A8" w:rsidRDefault="00CA70A8"/>
    <w:p w:rsidR="000809A7" w:rsidRDefault="00CA70A8">
      <w:pPr>
        <w:spacing w:after="0" w:line="240" w:lineRule="auto"/>
        <w:sectPr w:rsidR="000809A7" w:rsidSect="00876A81">
          <w:pgSz w:h="16838" w:w="11906"/>
          <w:pgMar w:bottom="1440" w:footer="709" w:gutter="0" w:header="709" w:left="1440" w:right="1440" w:top="737"/>
          <w:cols w:space="708"/>
          <w:docGrid w:linePitch="360"/>
        </w:sectPr>
      </w:pPr>
      <w:r>
        <w:br w:type="page"/>
      </w:r>
    </w:p>
    <w:p w:rsidP="00150FB2" w:rsidR="00CA70A8" w:rsidRDefault="00150FB2">
      <w:pPr>
        <w:spacing w:after="0" w:line="240" w:lineRule="auto"/>
        <w:jc w:val="center"/>
        <w:rPr>
          <w:rFonts w:eastAsia="Times New Roman"/>
          <w:b/>
          <w:bCs/>
          <w:lang w:eastAsia="en-GB"/>
        </w:rPr>
      </w:pPr>
      <w:r>
        <w:rPr>
          <w:rFonts w:eastAsia="Times New Roman"/>
          <w:b/>
          <w:bCs/>
          <w:lang w:eastAsia="en-GB"/>
        </w:rPr>
        <w:lastRenderedPageBreak/>
        <w:t>Action's i</w:t>
      </w:r>
      <w:r w:rsidRPr="00777720">
        <w:rPr>
          <w:rFonts w:eastAsia="Times New Roman"/>
          <w:b/>
          <w:bCs/>
          <w:lang w:eastAsia="en-GB"/>
        </w:rPr>
        <w:t xml:space="preserve">mplementation </w:t>
      </w:r>
      <w:r w:rsidR="00FA5D13">
        <w:rPr>
          <w:rFonts w:eastAsia="Times New Roman"/>
          <w:b/>
          <w:bCs/>
          <w:lang w:eastAsia="en-GB"/>
        </w:rPr>
        <w:t xml:space="preserve">technical </w:t>
      </w:r>
      <w:r w:rsidRPr="00777720">
        <w:rPr>
          <w:rFonts w:eastAsia="Times New Roman"/>
          <w:b/>
          <w:bCs/>
          <w:lang w:eastAsia="en-GB"/>
        </w:rPr>
        <w:t>progress (cumulated %)</w:t>
      </w:r>
    </w:p>
    <w:p w:rsidP="00150FB2" w:rsidR="003D1413" w:rsidRDefault="00A078D4" w:rsidRPr="00491DF7">
      <w:pPr>
        <w:spacing w:after="0" w:line="240" w:lineRule="auto"/>
        <w:jc w:val="center"/>
      </w:pPr>
      <w:r w:rsidRPr="00491DF7">
        <w:rPr>
          <w:noProof/>
        </w:rPr>
        <w:t/>
      </w:r>
    </w:p>
    <w:tbl>
      <w:tblPr>
        <w:tblStyle w:val="TableGrid0"/>
        <w:tblW w:type="pct" w:w="5000"/>
        <w:jc w:val="center"/>
        <w:tblLook w:firstColumn="1" w:firstRow="1" w:lastColumn="0" w:lastRow="0" w:noHBand="0" w:noVBand="1" w:val="04A0"/>
      </w:tblPr>
      <w:tblGrid>
        <w:gridCol w:w="4364"/>
        <w:gridCol w:w="5836"/>
        <w:gridCol w:w="4677"/>
      </w:tblGrid>
      <w:tr w:rsidR="00507998" w:rsidRPr="00A877EE" w:rsidTr="00A078D4">
        <w:trPr>
          <w:jc w:val="center"/>
        </w:trPr>
        <w:tc>
          <w:tcPr>
            <w:tcW w:type="dxa" w:w="3657"/>
            <w:vAlign w:val="center"/>
          </w:tcPr>
          <w:p w:rsidP="00841369" w:rsidR="00507998" w:rsidRDefault="00507998" w:rsidRPr="00491DF7">
            <w:pPr>
              <w:spacing w:after="0" w:line="240" w:lineRule="auto"/>
              <w:jc w:val="center"/>
            </w:pP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2016</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2017</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2018</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2019</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2020</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2021</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2022</w:t>
            </w:r>
          </w:p>
        </w:tc>
        <w:tc>
          <w:tcPr>
            <w:tcW w:type="dxa" w:w="11220"/>
            <w:gridSpan w:val="2"/>
            <w:vAlign w:val="center"/>
          </w:tcPr>
          <w:p w:rsidP="00907A7D" w:rsidR="00507998" w:rsidRDefault="00151E51" w:rsidRPr="00491DF7">
            <w:pPr>
              <w:spacing w:after="0" w:line="240" w:lineRule="auto"/>
              <w:jc w:val="center"/>
              <w:rPr>
                <w:b/>
              </w:rPr>
            </w:pPr>
            <w:r w:rsidR="00907A7D" w:rsidRPr="00491DF7">
              <w:rPr>
                <w:b/>
                <w:noProof/>
              </w:rPr>
              <w:t>2023</w:t>
            </w:r>
          </w:p>
        </w:tc>
      </w:tr>
      <w:tr w:rsidR="00D805A0" w:rsidRPr="00D714FE" w:rsidTr="00A078D4">
        <w:trPr>
          <w:jc w:val="center"/>
        </w:trPr>
        <w:tc>
          <w:tcPr>
            <w:tcW w:type="dxa" w:w="3657"/>
            <w:vAlign w:val="center"/>
          </w:tcPr>
          <w:p w:rsidP="00841369" w:rsidR="00D805A0" w:rsidRDefault="00D805A0">
            <w:pPr>
              <w:spacing w:after="0" w:line="240" w:lineRule="auto"/>
              <w:jc w:val="center"/>
            </w:pPr>
            <w:r>
              <w:t>Action level</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c>
          <w:tcPr>
            <w:tcW w:type="dxa" w:w="6232"/>
            <w:vAlign w:val="center"/>
          </w:tcPr>
          <w:p w:rsidP="000C116D" w:rsidR="00D805A0" w:rsidRDefault="00E32B6D" w:rsidRPr="00D805A0">
            <w:pPr>
              <w:spacing w:after="0" w:line="240" w:lineRule="auto"/>
              <w:jc w:val="center"/>
            </w:pPr>
            <w:r w:rsidR="00D805A0" w:rsidRPr="00D805A0">
              <w:t>Previous ASR</w:t>
            </w:r>
          </w:p>
        </w:tc>
        <w:tc>
          <w:tcPr>
            <w:tcW w:type="dxa" w:w="4988"/>
            <w:vAlign w:val="center"/>
          </w:tcPr>
          <w:p w:rsidP="00D805A0" w:rsidR="00D805A0" w:rsidRDefault="00D805A0" w:rsidRPr="00D805A0">
            <w:pPr>
              <w:spacing w:after="0" w:line="240" w:lineRule="auto"/>
              <w:jc w:val="center"/>
              <w:rPr>
                <w:lang w:val="pt-PT"/>
              </w:rPr>
            </w:pPr>
            <w:r w:rsidRPr="00D805A0">
              <w:rPr>
                <w:lang w:val="pt-PT"/>
              </w:rPr>
              <w:t>Current ASR</w:t>
            </w:r>
          </w:p>
        </w:tc>
      </w:tr>
      <w:tr w:rsidR="00D805A0" w:rsidRPr="00251DEF" w:rsidTr="00A078D4">
        <w:trPr>
          <w:jc w:val="center"/>
        </w:trPr>
        <w:tc>
          <w:tcPr>
            <w:tcW w:type="dxa" w:w="3657"/>
            <w:vAlign w:val="center"/>
          </w:tcPr>
          <w:p w:rsidP="00841369" w:rsidR="00D805A0" w:rsidRDefault="00D805A0" w:rsidRPr="00D805A0">
            <w:pPr>
              <w:spacing w:after="0" w:line="240" w:lineRule="auto"/>
              <w:jc w:val="center"/>
              <w:rPr>
                <w:lang w:val="pt-PT"/>
              </w:rPr>
            </w:pPr>
          </w:p>
        </w:tc>
        <w:tc>
          <w:tcPr>
            <w:tcW w:type="dxa" w:w="6232"/>
            <w:vAlign w:val="center"/>
          </w:tcPr>
          <w:p w:rsidP="000E6B2B" w:rsidR="00D805A0" w:rsidRDefault="00FD13F3" w:rsidRPr="006F3248">
            <w:pPr>
              <w:spacing w:after="0" w:line="240" w:lineRule="auto"/>
              <w:jc w:val="center"/>
              <w:rPr>
                <w:lang w:val="pt-PT"/>
              </w:rPr>
            </w:pPr>
            <w:r w:rsidR="000E6B2B">
              <w:rPr>
                <w:noProof/>
              </w:rPr>
              <w:t>1</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w:t>
            </w:r>
          </w:p>
        </w:tc>
        <w:tc>
          <w:tcPr>
            <w:tcW w:type="dxa" w:w="6232"/>
            <w:vAlign w:val="center"/>
          </w:tcPr>
          <w:p w:rsidP="000E6B2B" w:rsidR="00D805A0" w:rsidRDefault="00FD13F3" w:rsidRPr="006F3248">
            <w:pPr>
              <w:spacing w:after="0" w:line="240" w:lineRule="auto"/>
              <w:jc w:val="center"/>
              <w:rPr>
                <w:lang w:val="pt-PT"/>
              </w:rPr>
            </w:pPr>
            <w:r w:rsidR="000E6B2B">
              <w:rPr>
                <w:noProof/>
              </w:rPr>
              <w:t>11</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8</w:t>
            </w:r>
          </w:p>
        </w:tc>
        <w:tc>
          <w:tcPr>
            <w:tcW w:type="dxa" w:w="6232"/>
            <w:vAlign w:val="center"/>
          </w:tcPr>
          <w:p w:rsidP="000E6B2B" w:rsidR="00D805A0" w:rsidRDefault="00FD13F3" w:rsidRPr="006F3248">
            <w:pPr>
              <w:spacing w:after="0" w:line="240" w:lineRule="auto"/>
              <w:jc w:val="center"/>
              <w:rPr>
                <w:lang w:val="pt-PT"/>
              </w:rPr>
            </w:pPr>
            <w:r w:rsidR="000E6B2B">
              <w:rPr>
                <w:noProof/>
              </w:rPr>
              <w:t>15</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10</w:t>
            </w:r>
          </w:p>
        </w:tc>
        <w:tc>
          <w:tcPr>
            <w:tcW w:type="dxa" w:w="6232"/>
            <w:vAlign w:val="center"/>
          </w:tcPr>
          <w:p w:rsidP="000E6B2B" w:rsidR="00D805A0" w:rsidRDefault="00FD13F3" w:rsidRPr="006F3248">
            <w:pPr>
              <w:spacing w:after="0" w:line="240" w:lineRule="auto"/>
              <w:jc w:val="center"/>
              <w:rPr>
                <w:lang w:val="pt-PT"/>
              </w:rPr>
            </w:pPr>
            <w:r w:rsidR="000E6B2B">
              <w:rPr>
                <w:noProof/>
              </w:rPr>
              <w:t>17</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12</w:t>
            </w:r>
          </w:p>
        </w:tc>
        <w:tc>
          <w:tcPr>
            <w:tcW w:type="dxa" w:w="6232"/>
            <w:vAlign w:val="center"/>
          </w:tcPr>
          <w:p w:rsidP="000E6B2B" w:rsidR="00D805A0" w:rsidRDefault="00FD13F3" w:rsidRPr="006F3248">
            <w:pPr>
              <w:spacing w:after="0" w:line="240" w:lineRule="auto"/>
              <w:jc w:val="center"/>
              <w:rPr>
                <w:lang w:val="pt-PT"/>
              </w:rPr>
            </w:pPr>
            <w:r w:rsidR="000E6B2B">
              <w:rPr>
                <w:noProof/>
              </w:rPr>
              <w:t>45</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46</w:t>
            </w:r>
          </w:p>
        </w:tc>
        <w:tc>
          <w:tcPr>
            <w:tcW w:type="dxa" w:w="6232"/>
            <w:vAlign w:val="center"/>
          </w:tcPr>
          <w:p w:rsidP="000E6B2B" w:rsidR="00D805A0" w:rsidRDefault="00FD13F3" w:rsidRPr="006F3248">
            <w:pPr>
              <w:spacing w:after="0" w:line="240" w:lineRule="auto"/>
              <w:jc w:val="center"/>
              <w:rPr>
                <w:lang w:val="pt-PT"/>
              </w:rPr>
            </w:pPr>
            <w:r w:rsidR="000E6B2B">
              <w:rPr>
                <w:noProof/>
              </w:rPr>
              <w:t>51</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63</w:t>
            </w:r>
          </w:p>
        </w:tc>
        <w:tc>
          <w:tcPr>
            <w:tcW w:type="dxa" w:w="6232"/>
            <w:vAlign w:val="center"/>
          </w:tcPr>
          <w:p w:rsidP="000E6B2B" w:rsidR="00D805A0" w:rsidRDefault="00FD13F3" w:rsidRPr="006F3248">
            <w:pPr>
              <w:spacing w:after="0" w:line="240" w:lineRule="auto"/>
              <w:jc w:val="center"/>
              <w:rPr>
                <w:lang w:val="pt-PT"/>
              </w:rPr>
            </w:pPr>
            <w:r w:rsidR="000E6B2B">
              <w:rPr>
                <w:noProof/>
              </w:rPr>
              <w:t>90</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77</w:t>
            </w:r>
          </w:p>
        </w:tc>
        <w:tc>
          <w:tcPr>
            <w:tcW w:type="dxa" w:w="6232"/>
            <w:vAlign w:val="center"/>
          </w:tcPr>
          <w:p w:rsidP="000E6B2B" w:rsidR="00D805A0" w:rsidRDefault="00FD13F3" w:rsidRPr="006F3248">
            <w:pPr>
              <w:spacing w:after="0" w:line="240" w:lineRule="auto"/>
              <w:jc w:val="center"/>
              <w:rPr>
                <w:lang w:val="pt-PT"/>
              </w:rPr>
            </w:pPr>
            <w:r w:rsidR="000E6B2B">
              <w:rPr>
                <w:noProof/>
              </w:rPr>
              <w:t>100</w:t>
            </w:r>
          </w:p>
        </w:tc>
        <w:tc>
          <w:tcPr>
            <w:tcW w:type="dxa" w:w="4988"/>
            <w:vAlign w:val="center"/>
          </w:tcPr>
          <w:p w:rsidP="00444421" w:rsidR="00D805A0" w:rsidRDefault="0076431D" w:rsidRPr="00D805A0">
            <w:pPr>
              <w:spacing w:after="0" w:line="240" w:lineRule="auto"/>
              <w:jc w:val="center"/>
              <w:rPr>
                <w:lang w:val="pt-PT"/>
              </w:rPr>
            </w:pPr>
            <w:r w:rsidRPr="009A6BA9">
              <w:rPr>
                <w:noProof/>
                <w:lang w:val="pt-PT"/>
              </w:rPr>
              <w:t>100</w:t>
            </w:r>
          </w:p>
        </w:tc>
      </w:tr>
      <w:tr w:rsidR="0020115A" w:rsidRPr="00D714FE" w:rsidTr="00A078D4">
        <w:trPr>
          <w:jc w:val="center"/>
        </w:trPr>
        <w:tc>
          <w:tcPr>
            <w:tcW w:type="dxa" w:w="3657"/>
            <w:vAlign w:val="center"/>
          </w:tcPr>
          <w:p w:rsidP="00841369" w:rsidR="0020115A" w:rsidRDefault="0020115A">
            <w:pPr>
              <w:spacing w:after="0" w:line="240" w:lineRule="auto"/>
              <w:jc w:val="center"/>
            </w:pPr>
            <w:r>
              <w:t>Activity</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c>
          <w:tcPr>
            <w:tcW w:type="dxa" w:w="6232"/>
            <w:vAlign w:val="center"/>
          </w:tcPr>
          <w:p w:rsidP="005A1FD4" w:rsidR="0020115A" w:rsidRDefault="00E32B6D" w:rsidRPr="00D805A0">
            <w:pPr>
              <w:spacing w:after="0" w:line="240" w:lineRule="auto"/>
              <w:jc w:val="center"/>
            </w:pPr>
            <w:r w:rsidR="0020115A" w:rsidRPr="00D805A0">
              <w:t>Previous ASR</w:t>
            </w:r>
          </w:p>
        </w:tc>
        <w:tc>
          <w:tcPr>
            <w:tcW w:type="dxa" w:w="4988"/>
            <w:vAlign w:val="center"/>
          </w:tcPr>
          <w:p w:rsidP="005A1FD4" w:rsidR="0020115A" w:rsidRDefault="0020115A" w:rsidRPr="00D805A0">
            <w:pPr>
              <w:spacing w:after="0" w:line="240" w:lineRule="auto"/>
              <w:jc w:val="center"/>
              <w:rPr>
                <w:lang w:val="pt-PT"/>
              </w:rPr>
            </w:pPr>
            <w:r w:rsidRPr="00D805A0">
              <w:rPr>
                <w:lang w:val="pt-PT"/>
              </w:rPr>
              <w:t>Current ASR</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1</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2</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36</w:t>
            </w:r>
          </w:p>
        </w:tc>
        <w:tc>
          <w:tcPr>
            <w:tcW w:type="dxa" w:w="4988"/>
            <w:vAlign w:val="center"/>
          </w:tcPr>
          <w:p w:rsidP="005A1FD4" w:rsidR="00A659C2" w:rsidRDefault="00E32B6D" w:rsidRPr="002A6691">
            <w:pPr>
              <w:spacing w:after="0" w:line="240" w:lineRule="auto"/>
              <w:jc w:val="center"/>
            </w:pPr>
            <w:r w:rsidR="009A6BA9">
              <w:rPr>
                <w:noProof/>
              </w:rPr>
              <w:t>36</w:t>
            </w:r>
          </w:p>
        </w:tc>
        <w:tc>
          <w:tcPr>
            <w:tcW w:type="dxa" w:w="6232"/>
            <w:vAlign w:val="center"/>
          </w:tcPr>
          <w:p w:rsidP="001B0513" w:rsidR="00A659C2" w:rsidRDefault="00E035B3" w:rsidRPr="00D805A0">
            <w:pPr>
              <w:spacing w:after="0" w:line="240" w:lineRule="auto"/>
              <w:jc w:val="center"/>
            </w:pPr>
            <w:r w:rsidR="001B0513">
              <w:rPr>
                <w:noProof/>
              </w:rPr>
              <w:t>68</w:t>
            </w:r>
          </w:p>
        </w:tc>
        <w:tc>
          <w:tcPr>
            <w:tcW w:type="dxa" w:w="4988"/>
            <w:vAlign w:val="center"/>
          </w:tcPr>
          <w:p w:rsidP="005A1FD4" w:rsidR="00A659C2" w:rsidRDefault="00E32B6D" w:rsidRPr="002A6691">
            <w:pPr>
              <w:spacing w:after="0" w:line="240" w:lineRule="auto"/>
              <w:jc w:val="center"/>
            </w:pPr>
            <w:r w:rsidR="009A6BA9">
              <w:rPr>
                <w:noProof/>
              </w:rPr>
              <w:t>68</w:t>
            </w:r>
          </w:p>
        </w:tc>
        <w:tc>
          <w:tcPr>
            <w:tcW w:type="dxa" w:w="6232"/>
            <w:vAlign w:val="center"/>
          </w:tcPr>
          <w:p w:rsidP="001B0513" w:rsidR="00A659C2" w:rsidRDefault="00E035B3" w:rsidRPr="00D805A0">
            <w:pPr>
              <w:spacing w:after="0" w:line="240" w:lineRule="auto"/>
              <w:jc w:val="center"/>
            </w:pPr>
            <w:r w:rsidR="001B0513">
              <w:rPr>
                <w:noProof/>
              </w:rPr>
              <w:t>99</w:t>
            </w:r>
          </w:p>
        </w:tc>
        <w:tc>
          <w:tcPr>
            <w:tcW w:type="dxa" w:w="4988"/>
            <w:vAlign w:val="center"/>
          </w:tcPr>
          <w:p w:rsidP="005A1FD4" w:rsidR="00A659C2" w:rsidRDefault="00E32B6D" w:rsidRPr="002A6691">
            <w:pPr>
              <w:spacing w:after="0" w:line="240" w:lineRule="auto"/>
              <w:jc w:val="center"/>
            </w:pPr>
            <w:r w:rsidR="009A6BA9">
              <w:rPr>
                <w:noProof/>
              </w:rPr>
              <w:t>68</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3</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29</w:t>
            </w:r>
          </w:p>
        </w:tc>
        <w:tc>
          <w:tcPr>
            <w:tcW w:type="dxa" w:w="4988"/>
            <w:vAlign w:val="center"/>
          </w:tcPr>
          <w:p w:rsidP="005A1FD4" w:rsidR="00A659C2" w:rsidRDefault="00E32B6D" w:rsidRPr="002A6691">
            <w:pPr>
              <w:spacing w:after="0" w:line="240" w:lineRule="auto"/>
              <w:jc w:val="center"/>
            </w:pPr>
            <w:r w:rsidR="009A6BA9">
              <w:rPr>
                <w:noProof/>
              </w:rPr>
              <w:t>29</w:t>
            </w:r>
          </w:p>
        </w:tc>
        <w:tc>
          <w:tcPr>
            <w:tcW w:type="dxa" w:w="6232"/>
            <w:vAlign w:val="center"/>
          </w:tcPr>
          <w:p w:rsidP="001B0513" w:rsidR="00A659C2" w:rsidRDefault="00E035B3" w:rsidRPr="00D805A0">
            <w:pPr>
              <w:spacing w:after="0" w:line="240" w:lineRule="auto"/>
              <w:jc w:val="center"/>
            </w:pPr>
            <w:r w:rsidR="001B0513">
              <w:rPr>
                <w:noProof/>
              </w:rPr>
              <w:t>29</w:t>
            </w:r>
          </w:p>
        </w:tc>
        <w:tc>
          <w:tcPr>
            <w:tcW w:type="dxa" w:w="4988"/>
            <w:vAlign w:val="center"/>
          </w:tcPr>
          <w:p w:rsidP="005A1FD4" w:rsidR="00A659C2" w:rsidRDefault="00E32B6D" w:rsidRPr="002A6691">
            <w:pPr>
              <w:spacing w:after="0" w:line="240" w:lineRule="auto"/>
              <w:jc w:val="center"/>
            </w:pPr>
            <w:r w:rsidR="009A6BA9">
              <w:rPr>
                <w:noProof/>
              </w:rPr>
              <w:t>46</w:t>
            </w:r>
          </w:p>
        </w:tc>
        <w:tc>
          <w:tcPr>
            <w:tcW w:type="dxa" w:w="6232"/>
            <w:vAlign w:val="center"/>
          </w:tcPr>
          <w:p w:rsidP="001B0513" w:rsidR="00A659C2" w:rsidRDefault="00E035B3" w:rsidRPr="00D805A0">
            <w:pPr>
              <w:spacing w:after="0" w:line="240" w:lineRule="auto"/>
              <w:jc w:val="center"/>
            </w:pPr>
            <w:r w:rsidR="001B0513">
              <w:rPr>
                <w:noProof/>
              </w:rPr>
              <w:t>80</w:t>
            </w:r>
          </w:p>
        </w:tc>
        <w:tc>
          <w:tcPr>
            <w:tcW w:type="dxa" w:w="4988"/>
            <w:vAlign w:val="center"/>
          </w:tcPr>
          <w:p w:rsidP="005A1FD4" w:rsidR="00A659C2" w:rsidRDefault="00E32B6D" w:rsidRPr="002A6691">
            <w:pPr>
              <w:spacing w:after="0" w:line="240" w:lineRule="auto"/>
              <w:jc w:val="center"/>
            </w:pPr>
            <w:r w:rsidR="009A6BA9">
              <w:rPr>
                <w:noProof/>
              </w:rPr>
              <w:t>69</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r>
      <w:tr w:rsidR="00A659C2" w:rsidRPr="00630816" w:rsidTr="00A078D4">
        <w:trPr>
          <w:jc w:val="center"/>
        </w:trPr>
        <w:tc>
          <w:tcPr>
            <w:tcW w:type="dxa" w:w="3657"/>
            <w:vAlign w:val="center"/>
          </w:tcPr>
          <w:p w:rsidP="00841369" w:rsidR="00A659C2" w:rsidRDefault="00E32B6D">
            <w:pPr>
              <w:spacing w:after="0" w:line="240" w:lineRule="auto"/>
              <w:jc w:val="center"/>
            </w:pPr>
            <w:r w:rsidR="008607F6">
              <w:rPr>
                <w:noProof/>
              </w:rPr>
              <w:t>4</w:t>
            </w:r>
          </w:p>
          <w:p w:rsidP="00841369" w:rsidR="00A659C2" w:rsidRDefault="00E035B3">
            <w:pPr>
              <w:spacing w:after="0" w:line="240" w:lineRule="auto"/>
              <w:jc w:val="center"/>
            </w:pPr>
          </w:p>
        </w:tc>
        <w:tc>
          <w:tcPr>
            <w:tcW w:type="dxa" w:w="6232"/>
            <w:vAlign w:val="center"/>
          </w:tcPr>
          <w:p w:rsidP="001B0513" w:rsidR="00A659C2" w:rsidRDefault="00E035B3" w:rsidRPr="00D805A0">
            <w:pPr>
              <w:spacing w:after="0" w:line="240" w:lineRule="auto"/>
              <w:jc w:val="center"/>
            </w:pPr>
            <w:r w:rsidR="001B0513">
              <w:rPr>
                <w:noProof/>
              </w:rPr>
              <w:t>0</w:t>
            </w:r>
          </w:p>
        </w:tc>
        <w:tc>
          <w:tcPr>
            <w:tcW w:type="dxa" w:w="4988"/>
            <w:vAlign w:val="center"/>
          </w:tcPr>
          <w:p w:rsidP="005A1FD4" w:rsidR="00A659C2" w:rsidRDefault="00E32B6D" w:rsidRPr="002A6691">
            <w:pPr>
              <w:spacing w:after="0" w:line="240" w:lineRule="auto"/>
              <w:jc w:val="center"/>
            </w:pPr>
            <w:r w:rsidR="009A6BA9">
              <w:rPr>
                <w:noProof/>
              </w:rPr>
              <w:t>0</w:t>
            </w:r>
          </w:p>
        </w:tc>
        <w:tc>
          <w:tcPr>
            <w:tcW w:type="dxa" w:w="6232"/>
            <w:vAlign w:val="center"/>
          </w:tcPr>
          <w:p w:rsidP="001B0513" w:rsidR="00A659C2" w:rsidRDefault="00E035B3" w:rsidRPr="00D805A0">
            <w:pPr>
              <w:spacing w:after="0" w:line="240" w:lineRule="auto"/>
              <w:jc w:val="center"/>
            </w:pPr>
            <w:r w:rsidR="001B0513">
              <w:rPr>
                <w:noProof/>
              </w:rPr>
              <w:t>43</w:t>
            </w:r>
          </w:p>
        </w:tc>
        <w:tc>
          <w:tcPr>
            <w:tcW w:type="dxa" w:w="4988"/>
            <w:vAlign w:val="center"/>
          </w:tcPr>
          <w:p w:rsidP="005A1FD4" w:rsidR="00A659C2" w:rsidRDefault="00E32B6D" w:rsidRPr="002A6691">
            <w:pPr>
              <w:spacing w:after="0" w:line="240" w:lineRule="auto"/>
              <w:jc w:val="center"/>
            </w:pPr>
            <w:r w:rsidR="009A6BA9">
              <w:rPr>
                <w:noProof/>
              </w:rPr>
              <w:t>43</w:t>
            </w:r>
          </w:p>
        </w:tc>
        <w:tc>
          <w:tcPr>
            <w:tcW w:type="dxa" w:w="6232"/>
            <w:vAlign w:val="center"/>
          </w:tcPr>
          <w:p w:rsidP="001B0513" w:rsidR="00A659C2" w:rsidRDefault="00E035B3" w:rsidRPr="00D805A0">
            <w:pPr>
              <w:spacing w:after="0" w:line="240" w:lineRule="auto"/>
              <w:jc w:val="center"/>
            </w:pPr>
            <w:r w:rsidR="001B0513">
              <w:rPr>
                <w:noProof/>
              </w:rPr>
              <w:t>65</w:t>
            </w:r>
          </w:p>
        </w:tc>
        <w:tc>
          <w:tcPr>
            <w:tcW w:type="dxa" w:w="4988"/>
            <w:vAlign w:val="center"/>
          </w:tcPr>
          <w:p w:rsidP="005A1FD4" w:rsidR="00A659C2" w:rsidRDefault="00E32B6D" w:rsidRPr="002A6691">
            <w:pPr>
              <w:spacing w:after="0" w:line="240" w:lineRule="auto"/>
              <w:jc w:val="center"/>
            </w:pPr>
            <w:r w:rsidR="009A6BA9">
              <w:rPr>
                <w:noProof/>
              </w:rPr>
              <w:t>65</w:t>
            </w:r>
          </w:p>
        </w:tc>
        <w:tc>
          <w:tcPr>
            <w:tcW w:type="dxa" w:w="6232"/>
            <w:vAlign w:val="center"/>
          </w:tcPr>
          <w:p w:rsidP="001B0513" w:rsidR="00A659C2" w:rsidRDefault="00E035B3" w:rsidRPr="00D805A0">
            <w:pPr>
              <w:spacing w:after="0" w:line="240" w:lineRule="auto"/>
              <w:jc w:val="center"/>
            </w:pPr>
            <w:r w:rsidR="001B0513">
              <w:rPr>
                <w:noProof/>
              </w:rPr>
              <w:t>79</w:t>
            </w:r>
          </w:p>
        </w:tc>
        <w:tc>
          <w:tcPr>
            <w:tcW w:type="dxa" w:w="4988"/>
            <w:vAlign w:val="center"/>
          </w:tcPr>
          <w:p w:rsidP="005A1FD4" w:rsidR="00A659C2" w:rsidRDefault="00E32B6D" w:rsidRPr="002A6691">
            <w:pPr>
              <w:spacing w:after="0" w:line="240" w:lineRule="auto"/>
              <w:jc w:val="center"/>
            </w:pPr>
            <w:r w:rsidR="009A6BA9">
              <w:rPr>
                <w:noProof/>
              </w:rPr>
              <w:t>79</w:t>
            </w:r>
          </w:p>
        </w:tc>
        <w:tc>
          <w:tcPr>
            <w:tcW w:type="dxa" w:w="6232"/>
            <w:vAlign w:val="center"/>
          </w:tcPr>
          <w:p w:rsidP="001B0513" w:rsidR="00A659C2" w:rsidRDefault="00E035B3" w:rsidRPr="00D805A0">
            <w:pPr>
              <w:spacing w:after="0" w:line="240" w:lineRule="auto"/>
              <w:jc w:val="center"/>
            </w:pPr>
            <w:r w:rsidR="001B0513">
              <w:rPr>
                <w:noProof/>
              </w:rPr>
              <w:t>100</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c>
          <w:tcPr>
            <w:tcW w:type="dxa" w:w="6232"/>
            <w:vAlign w:val="center"/>
          </w:tcPr>
          <w:p w:rsidP="001B0513" w:rsidR="00A659C2" w:rsidRDefault="00E035B3" w:rsidRPr="00D805A0">
            <w:pPr>
              <w:spacing w:after="0" w:line="240" w:lineRule="auto"/>
              <w:jc w:val="center"/>
            </w:pPr>
            <w:r w:rsidR="001B0513">
              <w:rPr>
                <w:noProof/>
              </w:rPr>
              <w:t>N/A</w:t>
            </w:r>
          </w:p>
        </w:tc>
        <w:tc>
          <w:tcPr>
            <w:tcW w:type="dxa" w:w="4988"/>
            <w:vAlign w:val="center"/>
          </w:tcPr>
          <w:p w:rsidP="005A1FD4" w:rsidR="00A659C2" w:rsidRDefault="00E32B6D" w:rsidRPr="002A6691">
            <w:pPr>
              <w:spacing w:after="0" w:line="240" w:lineRule="auto"/>
              <w:jc w:val="center"/>
            </w:pPr>
            <w:r w:rsidR="009A6BA9">
              <w:rPr>
                <w:noProof/>
              </w:rPr>
              <w:t>100</w:t>
            </w:r>
          </w:p>
        </w:tc>
      </w:tr>
    </w:tbl>
    <w:p w:rsidP="00A078D4" w:rsidR="00FE725F" w:rsidRDefault="00A078D4" w:rsidRPr="00EF34CA">
      <w:pPr>
        <w:spacing w:after="0" w:line="240" w:lineRule="auto"/>
        <w:jc w:val="center"/>
      </w:pPr>
      <w:r w:rsidRPr="00A078D4">
        <w:rPr>
          <w:noProof/>
        </w:rPr>
        <w:t/>
      </w:r>
    </w:p>
    <w:p w:rsidP="000354C1" w:rsidR="000354C1" w:rsidRDefault="00DC0C1A" w:rsidRPr="00491DF7">
      <w:pPr>
        <w:spacing w:after="0" w:line="240" w:lineRule="auto"/>
      </w:pPr>
      <w:r w:rsidRPr="00500527">
        <w:rPr>
          <w:noProof/>
        </w:rPr>
        <w:t/>
      </w:r>
    </w:p>
    <w:p w:rsidP="000354C1" w:rsidR="000354C1" w:rsidRDefault="000354C1" w:rsidRPr="004D0718">
      <w:pPr>
        <w:spacing w:after="120" w:before="120" w:line="259" w:lineRule="auto"/>
        <w:rPr>
          <w:rFonts w:asciiTheme="minorHAnsi" w:cs="Calibri" w:hAnsiTheme="minorHAnsi"/>
          <w:b/>
          <w:spacing w:val="-10"/>
          <w:lang w:val="en-US"/>
        </w:rPr>
      </w:pPr>
      <w:r w:rsidRPr="000354C1">
        <w:rPr>
          <w:rFonts w:asciiTheme="minorHAnsi" w:cs="Calibri" w:hAnsiTheme="minorHAnsi"/>
          <w:b/>
          <w:spacing w:val="-10"/>
          <w:lang w:val="en-US"/>
        </w:rPr>
        <w:t>All the activities and the Action will achieve 100% of technical progress by their actual end dates</w:t>
      </w:r>
    </w:p>
    <w:p w:rsidR="000809A7" w:rsidRDefault="000354C1" w:rsidRPr="002A6691">
      <w:pPr>
        <w:spacing w:after="0" w:line="240" w:lineRule="auto"/>
        <w:sectPr w:rsidR="000809A7" w:rsidRPr="002A6691" w:rsidSect="000809A7">
          <w:pgSz w:h="11906" w:orient="landscape" w:w="16838"/>
          <w:pgMar w:bottom="1440" w:footer="709" w:gutter="0" w:header="709" w:left="1440" w:right="737" w:top="1440"/>
          <w:cols w:space="708"/>
          <w:docGrid w:linePitch="360"/>
        </w:sectPr>
      </w:pPr>
      <w:r w:rsidRPr="00A078D4">
        <w:rPr>
          <w:noProof/>
        </w:rPr>
        <w:t/>
      </w:r>
      <w:r w:rsidR="00A30AE5" w:rsidRPr="002A6691">
        <w:br w:type="page"/>
      </w:r>
    </w:p>
    <w:p w:rsidR="00A30AE5" w:rsidRDefault="00A30AE5" w:rsidRPr="002A6691">
      <w:pPr>
        <w:spacing w:after="0" w:line="240" w:lineRule="auto"/>
      </w:pPr>
    </w:p>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DA5BB0" w:rsidRPr="00014C3A" w:rsidTr="00A30AE5">
        <w:trPr>
          <w:trHeight w:val="264"/>
          <w:jc w:val="center"/>
        </w:trPr>
        <w:tc>
          <w:tcPr>
            <w:tcW w:type="dxa" w:w="9242"/>
            <w:shd w:color="auto" w:fill="99CCFF" w:val="clear"/>
            <w:tcMar>
              <w:top w:type="dxa" w:w="85"/>
              <w:bottom w:type="dxa" w:w="85"/>
            </w:tcMar>
          </w:tcPr>
          <w:p w:rsidP="0018280C" w:rsidR="00DA5BB0" w:rsidRDefault="00DA5BB0" w:rsidRPr="00E624BC">
            <w:pPr>
              <w:keepNext/>
              <w:spacing w:after="120" w:before="120"/>
              <w:ind w:left="113"/>
              <w:rPr>
                <w:rFonts w:ascii="Verdana" w:hAnsi="Verdana"/>
                <w:b/>
                <w:spacing w:val="-10"/>
              </w:rPr>
            </w:pPr>
            <w:r w:rsidRPr="00E624BC">
              <w:rPr>
                <w:rFonts w:ascii="Verdana" w:hAnsi="Verdana"/>
                <w:b/>
                <w:spacing w:val="-10"/>
              </w:rPr>
              <w:t xml:space="preserve">6.2. </w:t>
            </w:r>
            <w:r w:rsidRPr="00247A24">
              <w:rPr>
                <w:rFonts w:ascii="Verdana" w:hAnsi="Verdana"/>
                <w:b/>
                <w:spacing w:val="-10"/>
                <w:u w:val="single"/>
              </w:rPr>
              <w:t>I</w:t>
            </w:r>
            <w:r w:rsidRPr="001273BA">
              <w:rPr>
                <w:rFonts w:ascii="Verdana" w:hAnsi="Verdana"/>
                <w:b/>
                <w:spacing w:val="-10"/>
                <w:u w:val="single"/>
              </w:rPr>
              <w:t>n the first ASR</w:t>
            </w:r>
            <w:r>
              <w:rPr>
                <w:rFonts w:ascii="Verdana" w:hAnsi="Verdana"/>
                <w:b/>
                <w:spacing w:val="-10"/>
              </w:rPr>
              <w:t xml:space="preserve">, information on governance and monitoring of the Action, such as organizational structure, internal coordination, communication and reporting, and decision making process; </w:t>
            </w:r>
            <w:r w:rsidRPr="001273BA">
              <w:rPr>
                <w:rFonts w:ascii="Verdana" w:hAnsi="Verdana"/>
                <w:b/>
                <w:spacing w:val="-10"/>
                <w:u w:val="single"/>
              </w:rPr>
              <w:t>in subsequent ASR</w:t>
            </w:r>
            <w:r>
              <w:rPr>
                <w:rFonts w:ascii="Verdana" w:hAnsi="Verdana"/>
                <w:b/>
                <w:spacing w:val="-10"/>
              </w:rPr>
              <w:t>, information on any modifications and, if applicable, on the progress of the implementation of the arrangements referred to in previous ASR.</w:t>
            </w:r>
          </w:p>
        </w:tc>
      </w:tr>
      <w:tr w:rsidR="00DA5BB0" w:rsidRPr="00014C3A" w:rsidTr="00A30AE5">
        <w:trPr>
          <w:trHeight w:val="55"/>
          <w:jc w:val="center"/>
        </w:trPr>
        <w:tc>
          <w:tcPr>
            <w:tcW w:type="dxa" w:w="9242"/>
            <w:tcMar>
              <w:top w:type="dxa" w:w="85"/>
              <w:bottom w:type="dxa" w:w="85"/>
            </w:tcMar>
          </w:tcPr>
          <w:p w:rsidP="0061142E" w:rsidR="00DA5BB0" w:rsidRDefault="00EB61FF" w:rsidRPr="00014C3A">
            <w:pPr>
              <w:spacing w:after="120" w:before="120"/>
              <w:ind w:left="113"/>
              <w:rPr>
                <w:rFonts w:ascii="Verdana" w:hAnsi="Verdana"/>
                <w:spacing w:val="-10"/>
              </w:rPr>
            </w:pPr>
            <w:r>
              <w:rPr>
                <w:rFonts w:ascii="Verdana" w:hAnsi="Verdana"/>
                <w:noProof/>
                <w:spacing w:val="-10"/>
              </w:rPr>
              <w:t>Within our organization the Investment Department is liable for the implementation of the Action. The overall management and the decision making process is ensured by the director of the department at the department level and by the general director of ŽSR.</w:t>
              <w:br/>
              <w:t xml:space="preserve">Preparation and implementation of projects are carried out through the following sections performing their main activities as follows:</w:t>
              <w:br/>
              <w:t xml:space="preserve"/>
              <w:br/>
              <w:t xml:space="preserve">Section of procurement of investments and EU projects</w:t>
              <w:br/>
              <w:t xml:space="preserve">•</w:t>
              <w:tab/>
              <w:t xml:space="preserve">organizing the entire public procurement process  (from the establishment of a working group for the preparation of tender documents till the publication of documents after the conclusion of the contract)</w:t>
              <w:br/>
              <w:t xml:space="preserve">•</w:t>
              <w:tab/>
              <w:t xml:space="preserve">cooperating in ASR preparation</w:t>
              <w:br/>
              <w:t xml:space="preserve"/>
              <w:br/>
              <w:t xml:space="preserve">Section of Proprietary Preparation of Investments</w:t>
              <w:br/>
              <w:t xml:space="preserve">•</w:t>
              <w:tab/>
              <w:t xml:space="preserve">ensuring proprietary and legal settlement for the needs of investment construction, financed from internal resources, capital transfers and EU funds</w:t>
              <w:br/>
              <w:t xml:space="preserve">•</w:t>
              <w:tab/>
              <w:t xml:space="preserve">representing ŽSR at expropriation proceedings as well as other proceedings related to proprietary and legal settlement of constructions</w:t>
              <w:br/>
              <w:t xml:space="preserve"/>
              <w:br/>
              <w:t xml:space="preserve">Section of EU Constructions and Projects Preparation</w:t>
              <w:br/>
              <w:t xml:space="preserve">•</w:t>
              <w:tab/>
              <w:t xml:space="preserve">complete management of project preparation constructions financed from internal resources, capital transfer and EU funds in the extent of the methodological procedure for investor activities in ŽSR</w:t>
              <w:br/>
              <w:t xml:space="preserve">•</w:t>
              <w:tab/>
              <w:t xml:space="preserve">processing the subjects of procurement procedures for design contractors at all design documentation stages, including requirements for an authorized construction geodesist </w:t>
              <w:br/>
              <w:t xml:space="preserve">•</w:t>
              <w:tab/>
              <w:t xml:space="preserve">preparing requests for conducting national expert inspection, intra-ministerial expert inspection, ministerial expert inspection</w:t>
              <w:br/>
              <w:t xml:space="preserve">•</w:t>
              <w:tab/>
              <w:t xml:space="preserve">preparing notifications of construction start to relevant authorities</w:t>
              <w:br/>
              <w:t xml:space="preserve">•</w:t>
              <w:tab/>
              <w:t xml:space="preserve">preparing requests for issuing approval protocols and expert assessments</w:t>
              <w:br/>
              <w:t xml:space="preserve"/>
              <w:br/>
              <w:t xml:space="preserve">Section of EU programs</w:t>
              <w:br/>
              <w:t xml:space="preserve">•</w:t>
              <w:tab/>
              <w:t xml:space="preserve">managing of and responsibility for meeting CEF implementation conditions</w:t>
              <w:br/>
              <w:t xml:space="preserve">•</w:t>
              <w:tab/>
              <w:t xml:space="preserve">managing technical assistance of the EU programs</w:t>
              <w:br/>
              <w:t xml:space="preserve">•</w:t>
              <w:tab/>
              <w:t xml:space="preserve">organizing and managing the end process management of beneficiary</w:t>
              <w:br/>
              <w:t xml:space="preserve">•</w:t>
              <w:tab/>
              <w:t xml:space="preserve">ensuring relation with state administration and the EC </w:t>
              <w:br/>
              <w:t xml:space="preserve">•</w:t>
              <w:tab/>
              <w:t xml:space="preserve">representing ŽSR at meetings with representatives of the EU, EC, MoTC SR and other organizations, responsibility for meeting conditions resulting from the Grant Agreement in the extent of activities of the Department, monitoring compliance with conditions, deadlines, deductions</w:t>
              <w:br/>
              <w:t xml:space="preserve"/>
              <w:br/>
              <w:t xml:space="preserve">Section of EU Constructions and Projects Implementation</w:t>
              <w:br/>
              <w:t xml:space="preserve">•</w:t>
              <w:tab/>
              <w:t xml:space="preserve">ensuring the control of compliance of the construction implementation with the approved project documentation, contractual conditions and the other valid legislation and the valid regulations of ŽSR, the Slovak Republic and the EC in the area of his scope of operation, preparation of materials in accordance with requirements and internal manuals </w:t>
              <w:br/>
              <w:t xml:space="preserve">•</w:t>
              <w:tab/>
              <w:t xml:space="preserve">control of compliance of the performance of activity of construction supervision with the Contract on Provision of Services</w:t>
              <w:br/>
              <w:t xml:space="preserve">•</w:t>
              <w:tab/>
              <w:t xml:space="preserve">participation in inspection days of the construction, technical inspections, hand-overs and take-overs, monitoring and assessing weekly, monthly and quarterly reports sent by the contractor or the building inspector, preparing documents for lockout activities and a train diagram board</w:t>
              <w:br/>
              <w:t xml:space="preserve"/>
              <w:br/>
              <w:t xml:space="preserve">Section of financial management of EU projects</w:t>
              <w:br/>
              <w:t xml:space="preserve">•</w:t>
              <w:tab/>
              <w:t xml:space="preserve">verification of the contractor´s invoices</w:t>
              <w:br/>
              <w:t xml:space="preserve">•</w:t>
              <w:tab/>
              <w:t xml:space="preserve">management of payments to the contractors</w:t>
              <w:br/>
              <w:t xml:space="preserve">•</w:t>
              <w:tab/>
              <w:t xml:space="preserve">financial reporting (requests for payment, financial statements, supporting financial documents, etc.)</w:t>
              <w:br/>
              <w:t xml:space="preserve">•</w:t>
              <w:tab/>
              <w:t xml:space="preserve">preparation of financial plans</w:t>
              <w:br/>
              <w:t xml:space="preserve">•</w:t>
              <w:tab/>
              <w:t xml:space="preserve">monitoring of financial progress </w:t>
              <w:br/>
              <w:t xml:space="preserve">•</w:t>
              <w:tab/>
              <w:t xml:space="preserve">participation in meetings related to project implementation</w:t>
              <w:br/>
              <w:t xml:space="preserve">•</w:t>
              <w:tab/>
              <w:t xml:space="preserve">cooperation on ASR preparation</w:t>
              <w:br/>
              <w:t xml:space="preserve"/>
              <w:br/>
              <w:t xml:space="preserve">The given sections are being involved in communication process on regular daily basis including weekly meetings of the director and the heads of the sections.</w:t>
              <w:br/>
              <w:t xml:space="preserve"/>
            </w:r>
          </w:p>
        </w:tc>
      </w:tr>
    </w:tbl>
    <w:p w:rsidR="00DA5BB0" w:rsidRDefault="00DA5BB0"/>
    <w:tbl>
      <w:tblPr>
        <w:tblW w:type="pct" w:w="5000"/>
        <w:jc w:val="center"/>
        <w:tblBorders>
          <w:top w:color="auto" w:space="0" w:sz="18" w:val="single"/>
          <w:left w:color="auto" w:space="0" w:sz="18" w:val="single"/>
          <w:bottom w:color="auto" w:space="0" w:sz="18" w:val="single"/>
          <w:right w:color="auto" w:space="0" w:sz="18" w:val="single"/>
          <w:insideH w:color="auto" w:space="0" w:sz="6" w:val="single"/>
          <w:insideV w:color="auto" w:space="0" w:sz="6" w:val="single"/>
        </w:tblBorders>
        <w:tblLayout w:type="fixed"/>
        <w:tblLook w:firstColumn="0" w:firstRow="0" w:lastColumn="0" w:lastRow="0" w:noHBand="0" w:noVBand="0" w:val="0000"/>
      </w:tblPr>
      <w:tblGrid>
        <w:gridCol w:w="9242"/>
      </w:tblGrid>
      <w:tr w:rsidR="00DA5BB0" w:rsidRPr="00014C3A" w:rsidTr="0018280C">
        <w:trPr>
          <w:trHeight w:val="264"/>
          <w:jc w:val="center"/>
        </w:trPr>
        <w:tc>
          <w:tcPr>
            <w:tcW w:type="dxa" w:w="9594"/>
            <w:shd w:color="auto" w:fill="99CCFF" w:val="clear"/>
            <w:tcMar>
              <w:top w:type="dxa" w:w="85"/>
              <w:bottom w:type="dxa" w:w="85"/>
            </w:tcMar>
          </w:tcPr>
          <w:p w:rsidP="0018280C" w:rsidR="00DA5BB0" w:rsidRDefault="00DA5BB0" w:rsidRPr="00E624BC">
            <w:pPr>
              <w:keepNext/>
              <w:spacing w:after="120" w:before="120"/>
              <w:ind w:left="113"/>
              <w:rPr>
                <w:rFonts w:ascii="Verdana" w:hAnsi="Verdana"/>
                <w:b/>
                <w:spacing w:val="-10"/>
              </w:rPr>
            </w:pPr>
            <w:r>
              <w:rPr>
                <w:rFonts w:ascii="Verdana" w:hAnsi="Verdana"/>
                <w:b/>
                <w:spacing w:val="-10"/>
              </w:rPr>
              <w:t>6.3</w:t>
            </w:r>
            <w:r w:rsidRPr="00E624BC">
              <w:rPr>
                <w:rFonts w:ascii="Verdana" w:hAnsi="Verdana"/>
                <w:b/>
                <w:spacing w:val="-10"/>
              </w:rPr>
              <w:t xml:space="preserve">. </w:t>
            </w:r>
            <w:r>
              <w:rPr>
                <w:rFonts w:ascii="Verdana" w:hAnsi="Verdana"/>
                <w:b/>
                <w:spacing w:val="-10"/>
                <w:u w:val="single"/>
              </w:rPr>
              <w:t>I</w:t>
            </w:r>
            <w:r w:rsidRPr="001273BA">
              <w:rPr>
                <w:rFonts w:ascii="Verdana" w:hAnsi="Verdana"/>
                <w:b/>
                <w:spacing w:val="-10"/>
                <w:u w:val="single"/>
              </w:rPr>
              <w:t>n the first ASR</w:t>
            </w:r>
            <w:r>
              <w:rPr>
                <w:rFonts w:ascii="Verdana" w:hAnsi="Verdana"/>
                <w:b/>
                <w:spacing w:val="-10"/>
              </w:rPr>
              <w:t xml:space="preserve">, information on other relevant administrative provisions, such as quality controls and audits; </w:t>
            </w:r>
            <w:r w:rsidRPr="001273BA">
              <w:rPr>
                <w:rFonts w:ascii="Verdana" w:hAnsi="Verdana"/>
                <w:b/>
                <w:spacing w:val="-10"/>
                <w:u w:val="single"/>
              </w:rPr>
              <w:t>in subsequent ASR</w:t>
            </w:r>
            <w:r>
              <w:rPr>
                <w:rFonts w:ascii="Verdana" w:hAnsi="Verdana"/>
                <w:b/>
                <w:spacing w:val="-10"/>
              </w:rPr>
              <w:t>, information on any modifications and, if applicable, on the progress of the implementation of the arrangements referred to in previous ASR.</w:t>
            </w:r>
          </w:p>
        </w:tc>
      </w:tr>
      <w:tr w:rsidR="00DA5BB0" w:rsidRPr="00014C3A" w:rsidTr="0018280C">
        <w:trPr>
          <w:trHeight w:val="55"/>
          <w:jc w:val="center"/>
        </w:trPr>
        <w:tc>
          <w:tcPr>
            <w:tcW w:type="dxa" w:w="9594"/>
            <w:tcMar>
              <w:top w:type="dxa" w:w="85"/>
              <w:bottom w:type="dxa" w:w="85"/>
            </w:tcMar>
          </w:tcPr>
          <w:p w:rsidP="0061142E" w:rsidR="00DA5BB0" w:rsidRDefault="00EB61FF" w:rsidRPr="00014C3A">
            <w:pPr>
              <w:spacing w:after="120" w:before="120"/>
              <w:ind w:left="113"/>
              <w:rPr>
                <w:rFonts w:ascii="Verdana" w:hAnsi="Verdana"/>
                <w:spacing w:val="-10"/>
              </w:rPr>
            </w:pPr>
            <w:r>
              <w:rPr>
                <w:rFonts w:ascii="Verdana" w:hAnsi="Verdana"/>
                <w:noProof/>
                <w:spacing w:val="-10"/>
              </w:rPr>
              <w:t>The nature of construction works or a wide spectrum of expert activities with various focus (truck structure and railway bed, electrical power engineering, notifying and securing technology, telecommunication, etc.) requires cooperation of all interested parties of the relevant Departments of Directorate General of ŽSR.</w:t>
              <w:br/>
              <w:t xml:space="preserve"/>
              <w:br/>
              <w:t xml:space="preserve">Communication is carried out in the form of official correspondence, working meetings at the level of construction management (the Contractor, during the control days organized at three-week intervals), as well as at the level of Directorate General of ŽSR during operative working meetings. Except for the control days, the production meetings with the Contractor are held weekly.</w:t>
              <w:br/>
              <w:t xml:space="preserve"/>
              <w:br/>
              <w:t xml:space="preserve">The construction works progress is recorded in weekly reports by the Contractor. The Contractor also submits the summary of data on the construction works progress in monthly reports. The reports evaluate the construction progress from the perspective of time and material fulfillment, current problems and possible risks that appeared during implementation. The construction supervision submits the Interim Supervision Report to ŽSR once per three months (on a quarterly basis). The report includes data on works progress, fulfillment of time schedule or time compliance/non-compliance, summary of invoicing data, SWOT analysis, etc. Upon completion of the construction works, the construction supervision issues Taking Over Certificates and submits a Supervision Final Report.</w:t>
              <w:br/>
              <w:t xml:space="preserve"/>
            </w:r>
          </w:p>
        </w:tc>
      </w:tr>
    </w:tbl>
    <w:p w:rsidP="00034E46" w:rsidR="00DA5BB0" w:rsidRDefault="00DA5BB0" w:rsidRPr="00034E46">
      <w:pPr>
        <w:spacing w:after="120" w:before="120"/>
        <w:ind w:left="113"/>
        <w:rPr>
          <w:rFonts w:ascii="Verdana" w:hAnsi="Verdana"/>
        </w:rPr>
      </w:pPr>
      <w:r w:rsidRPr="00AE7828">
        <w:rPr>
          <w:rFonts w:ascii="Verdana" w:hAnsi="Verdana"/>
        </w:rPr>
        <w:t>ANNEX: Financial information (GA II.23.1.1.d</w:t>
      </w:r>
      <w:r>
        <w:rPr>
          <w:rFonts w:ascii="Verdana" w:hAnsi="Verdana"/>
        </w:rPr>
        <w:t xml:space="preserve"> to </w:t>
      </w:r>
      <w:r w:rsidRPr="00AE7828">
        <w:rPr>
          <w:rFonts w:ascii="Verdana" w:hAnsi="Verdana"/>
        </w:rPr>
        <w:t xml:space="preserve">f or </w:t>
      </w:r>
      <w:r>
        <w:rPr>
          <w:rFonts w:ascii="Verdana" w:hAnsi="Verdana"/>
        </w:rPr>
        <w:t xml:space="preserve">SESAR FPA </w:t>
      </w:r>
      <w:r w:rsidRPr="00AE7828">
        <w:rPr>
          <w:rFonts w:ascii="Verdana" w:hAnsi="Verdana"/>
        </w:rPr>
        <w:t>II.23.1b.d to f)</w:t>
      </w:r>
      <w:r w:rsidRPr="00AE7828">
        <w:rPr>
          <w:rFonts w:ascii="Verdana" w:hAnsi="Verdana"/>
          <w:spacing w:val="-10"/>
          <w:highlight w:val="yellow"/>
        </w:rPr>
        <w:br w:type="page"/>
      </w:r>
    </w:p>
    <w:p w:rsidR="00DA5BB0" w:rsidRDefault="00DA5BB0"/>
    <w:tbl>
      <w:tblPr>
        <w:tblW w:type="pct" w:w="5000"/>
        <w:jc w:val="center"/>
        <w:tblLook w:firstColumn="1" w:firstRow="1" w:lastColumn="0" w:lastRow="0" w:noHBand="0" w:noVBand="1" w:val="04A0"/>
      </w:tblPr>
      <w:tblGrid>
        <w:gridCol w:w="2412"/>
        <w:gridCol w:w="6830"/>
      </w:tblGrid>
      <w:tr w:rsidR="00034E46" w:rsidRPr="006405BD" w:rsidTr="0018280C">
        <w:trPr>
          <w:trHeight w:val="1320"/>
          <w:jc w:val="center"/>
        </w:trPr>
        <w:tc>
          <w:tcPr>
            <w:tcW w:type="dxa" w:w="9594"/>
            <w:gridSpan w:val="2"/>
            <w:vMerge w:val="restart"/>
            <w:tcBorders>
              <w:top w:color="auto" w:space="0" w:sz="8" w:val="single"/>
              <w:left w:color="auto" w:space="0" w:sz="8" w:val="single"/>
              <w:bottom w:color="000000" w:space="0" w:sz="8" w:val="single"/>
              <w:right w:color="000000" w:space="0" w:sz="8" w:val="single"/>
            </w:tcBorders>
            <w:shd w:color="000000" w:fill="99CCFF" w:val="clear"/>
            <w:vAlign w:val="center"/>
            <w:hideMark/>
          </w:tcPr>
          <w:p w:rsidP="00887EE8" w:rsidR="00034E46" w:rsidRDefault="00034E46" w:rsidRPr="002B0D3F">
            <w:pPr>
              <w:spacing w:after="0" w:line="240" w:lineRule="auto"/>
              <w:jc w:val="center"/>
              <w:rPr>
                <w:rFonts w:ascii="Verdana" w:cs="Arial" w:eastAsia="Times New Roman" w:hAnsi="Verdana"/>
                <w:b/>
                <w:bCs/>
                <w:sz w:val="24"/>
                <w:szCs w:val="24"/>
                <w:lang w:eastAsia="en-GB"/>
              </w:rPr>
            </w:pPr>
            <w:bookmarkStart w:id="1" w:name="RANGE!B3"/>
            <w:r w:rsidRPr="002B0D3F">
              <w:rPr>
                <w:rFonts w:ascii="Verdana" w:cs="Arial" w:eastAsia="Times New Roman" w:hAnsi="Verdana"/>
                <w:b/>
                <w:bCs/>
                <w:sz w:val="24"/>
                <w:szCs w:val="24"/>
                <w:lang w:eastAsia="en-GB"/>
              </w:rPr>
              <w:t>CERTIFICATION OF THE MEMBER STATE</w:t>
            </w:r>
            <w:r w:rsidRPr="00DA58BF">
              <w:rPr>
                <w:rFonts w:ascii="Verdana" w:cs="Arial" w:eastAsia="Times New Roman" w:hAnsi="Verdana"/>
                <w:b/>
                <w:bCs/>
                <w:sz w:val="24"/>
                <w:szCs w:val="24"/>
                <w:vertAlign w:val="superscript"/>
                <w:lang w:eastAsia="en-GB"/>
              </w:rPr>
              <w:t>*</w:t>
            </w:r>
          </w:p>
          <w:p w:rsidP="00887EE8" w:rsidR="00034E46" w:rsidRDefault="00034E46" w:rsidRPr="002B0D3F">
            <w:pPr>
              <w:spacing w:after="0" w:line="240" w:lineRule="auto"/>
              <w:jc w:val="center"/>
              <w:rPr>
                <w:rFonts w:ascii="Verdana" w:cs="Arial" w:eastAsia="Times New Roman" w:hAnsi="Verdana"/>
                <w:b/>
                <w:bCs/>
                <w:sz w:val="24"/>
                <w:szCs w:val="24"/>
                <w:lang w:eastAsia="en-GB"/>
              </w:rPr>
            </w:pPr>
            <w:r w:rsidRPr="002B0D3F">
              <w:rPr>
                <w:rFonts w:ascii="Verdana" w:cs="Arial" w:eastAsia="Times New Roman" w:hAnsi="Verdana"/>
                <w:sz w:val="24"/>
                <w:szCs w:val="24"/>
                <w:lang w:eastAsia="en-GB"/>
              </w:rPr>
              <w:t>(applicable only for ASR and for beneficiaries established in the European Union)</w:t>
            </w:r>
            <w:bookmarkEnd w:id="1"/>
          </w:p>
        </w:tc>
      </w:tr>
      <w:tr w:rsidR="00034E46" w:rsidRPr="006405BD" w:rsidTr="0018280C">
        <w:trPr>
          <w:trHeight w:val="389"/>
          <w:jc w:val="center"/>
        </w:trPr>
        <w:tc>
          <w:tcPr>
            <w:tcW w:type="dxa" w:w="9594"/>
            <w:gridSpan w:val="2"/>
            <w:vMerge/>
            <w:tcBorders>
              <w:top w:color="auto" w:space="0" w:sz="8" w:val="single"/>
              <w:left w:color="auto" w:space="0" w:sz="8" w:val="single"/>
              <w:bottom w:color="000000" w:space="0" w:sz="8" w:val="single"/>
              <w:right w:color="000000" w:space="0" w:sz="8" w:val="single"/>
            </w:tcBorders>
            <w:vAlign w:val="center"/>
            <w:hideMark/>
          </w:tcPr>
          <w:p w:rsidP="00887EE8" w:rsidR="00034E46" w:rsidRDefault="00034E46" w:rsidRPr="002B0D3F">
            <w:pPr>
              <w:spacing w:after="0" w:line="240" w:lineRule="auto"/>
              <w:rPr>
                <w:rFonts w:ascii="Verdana" w:cs="Arial" w:eastAsia="Times New Roman" w:hAnsi="Verdana"/>
                <w:b/>
                <w:bCs/>
                <w:sz w:val="24"/>
                <w:szCs w:val="24"/>
                <w:lang w:eastAsia="en-GB"/>
              </w:rPr>
            </w:pPr>
          </w:p>
        </w:tc>
      </w:tr>
      <w:tr w:rsidR="00034E46" w:rsidRPr="006405BD" w:rsidTr="0018280C">
        <w:trPr>
          <w:trHeight w:val="3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Name</w:t>
            </w:r>
          </w:p>
        </w:tc>
        <w:tc>
          <w:tcPr>
            <w:tcW w:type="dxa" w:w="7094"/>
            <w:tcBorders>
              <w:top w:color="auto" w:space="0" w:sz="8" w:val="single"/>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3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Position</w:t>
            </w:r>
          </w:p>
        </w:tc>
        <w:tc>
          <w:tcPr>
            <w:tcW w:type="dxa" w:w="7094"/>
            <w:tcBorders>
              <w:top w:val="nil"/>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6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Pr>
                <w:rFonts w:ascii="Verdana" w:cs="Arial" w:eastAsia="Times New Roman" w:hAnsi="Verdana"/>
                <w:sz w:val="24"/>
                <w:szCs w:val="24"/>
                <w:lang w:eastAsia="en-GB"/>
              </w:rPr>
              <w:t>Entity</w:t>
            </w:r>
          </w:p>
        </w:tc>
        <w:tc>
          <w:tcPr>
            <w:tcW w:type="dxa" w:w="7094"/>
            <w:tcBorders>
              <w:top w:val="nil"/>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300"/>
          <w:jc w:val="center"/>
        </w:trPr>
        <w:tc>
          <w:tcPr>
            <w:tcW w:type="dxa" w:w="2500"/>
            <w:tcBorders>
              <w:top w:val="nil"/>
              <w:left w:color="auto" w:space="0" w:sz="8" w:val="single"/>
              <w:bottom w:color="auto" w:space="0" w:sz="4"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Telephone Nº</w:t>
            </w:r>
          </w:p>
        </w:tc>
        <w:tc>
          <w:tcPr>
            <w:tcW w:type="dxa" w:w="7094"/>
            <w:tcBorders>
              <w:top w:val="nil"/>
              <w:left w:val="nil"/>
              <w:bottom w:color="auto" w:space="0" w:sz="4"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310"/>
          <w:jc w:val="center"/>
        </w:trPr>
        <w:tc>
          <w:tcPr>
            <w:tcW w:type="dxa" w:w="2500"/>
            <w:tcBorders>
              <w:top w:val="nil"/>
              <w:left w:color="auto" w:space="0" w:sz="8" w:val="single"/>
              <w:bottom w:color="auto" w:space="0" w:sz="8"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E-mail</w:t>
            </w:r>
          </w:p>
        </w:tc>
        <w:tc>
          <w:tcPr>
            <w:tcW w:type="dxa" w:w="7094"/>
            <w:tcBorders>
              <w:top w:val="nil"/>
              <w:left w:val="nil"/>
              <w:bottom w:color="auto" w:space="0" w:sz="8" w:val="single"/>
              <w:right w:color="000000" w:space="0" w:sz="8" w:val="single"/>
            </w:tcBorders>
            <w:shd w:color="auto" w:fill="auto" w:val="clear"/>
            <w:vAlign w:val="center"/>
            <w:hideMark/>
          </w:tcPr>
          <w:p w:rsidP="00887EE8" w:rsidR="00034E46" w:rsidRDefault="00034E46" w:rsidRPr="002B0D3F">
            <w:pPr>
              <w:spacing w:after="0" w:line="240" w:lineRule="auto"/>
              <w:rPr>
                <w:rFonts w:ascii="Verdana" w:cs="Arial" w:eastAsia="Times New Roman" w:hAnsi="Verdana"/>
                <w:sz w:val="24"/>
                <w:szCs w:val="24"/>
                <w:lang w:eastAsia="en-GB"/>
              </w:rPr>
            </w:pPr>
            <w:r w:rsidRPr="002B0D3F">
              <w:rPr>
                <w:rFonts w:ascii="Verdana" w:cs="Arial" w:eastAsia="Times New Roman" w:hAnsi="Verdana"/>
                <w:sz w:val="24"/>
                <w:szCs w:val="24"/>
                <w:lang w:eastAsia="en-GB"/>
              </w:rPr>
              <w:t> </w:t>
            </w:r>
          </w:p>
        </w:tc>
      </w:tr>
      <w:tr w:rsidR="00034E46" w:rsidRPr="006405BD" w:rsidTr="0018280C">
        <w:trPr>
          <w:trHeight w:val="585"/>
          <w:jc w:val="center"/>
        </w:trPr>
        <w:tc>
          <w:tcPr>
            <w:tcW w:type="dxa" w:w="9594"/>
            <w:gridSpan w:val="2"/>
            <w:tcBorders>
              <w:top w:color="auto" w:space="0" w:sz="8" w:val="single"/>
              <w:left w:color="auto" w:space="0" w:sz="8" w:val="single"/>
              <w:bottom w:val="nil"/>
              <w:right w:color="000000" w:space="0" w:sz="8" w:val="single"/>
            </w:tcBorders>
            <w:shd w:color="000000" w:fill="FFFF99" w:val="clear"/>
            <w:noWrap/>
            <w:vAlign w:val="center"/>
            <w:hideMark/>
          </w:tcPr>
          <w:p w:rsidP="00887EE8" w:rsidR="00034E46" w:rsidRDefault="00034E46">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In compliance with Article II.23.1</w:t>
            </w:r>
            <w:r>
              <w:rPr>
                <w:rFonts w:ascii="Verdana" w:cs="Arial" w:eastAsia="Times New Roman" w:hAnsi="Verdana"/>
                <w:sz w:val="24"/>
                <w:szCs w:val="24"/>
                <w:lang w:eastAsia="en-GB"/>
              </w:rPr>
              <w:t xml:space="preserve"> (</w:t>
            </w:r>
            <w:r w:rsidRPr="00AE7828">
              <w:rPr>
                <w:rFonts w:ascii="Verdana" w:cs="Arial" w:eastAsia="Times New Roman" w:hAnsi="Verdana"/>
                <w:sz w:val="24"/>
                <w:szCs w:val="24"/>
                <w:lang w:eastAsia="en-GB"/>
              </w:rPr>
              <w:t xml:space="preserve">or </w:t>
            </w:r>
            <w:r>
              <w:rPr>
                <w:rFonts w:ascii="Verdana" w:cs="Arial" w:eastAsia="Times New Roman" w:hAnsi="Verdana"/>
                <w:sz w:val="24"/>
                <w:szCs w:val="24"/>
                <w:lang w:eastAsia="en-GB"/>
              </w:rPr>
              <w:t xml:space="preserve">SESAR FPA </w:t>
            </w:r>
            <w:r w:rsidRPr="00AE7828">
              <w:rPr>
                <w:rFonts w:ascii="Verdana" w:cs="Arial" w:eastAsia="Times New Roman" w:hAnsi="Verdana"/>
                <w:sz w:val="24"/>
                <w:szCs w:val="24"/>
                <w:lang w:eastAsia="en-GB"/>
              </w:rPr>
              <w:t>II.23.1b)</w:t>
            </w:r>
            <w:r w:rsidRPr="006405BD">
              <w:rPr>
                <w:rFonts w:ascii="Verdana" w:cs="Arial" w:eastAsia="Times New Roman" w:hAnsi="Verdana"/>
                <w:sz w:val="24"/>
                <w:szCs w:val="24"/>
                <w:lang w:eastAsia="en-GB"/>
              </w:rPr>
              <w:t xml:space="preserve"> of the GA, it is certified that the information provided </w:t>
            </w:r>
            <w:r>
              <w:rPr>
                <w:rFonts w:ascii="Verdana" w:cs="Arial" w:eastAsia="Times New Roman" w:hAnsi="Verdana"/>
                <w:sz w:val="24"/>
                <w:szCs w:val="24"/>
                <w:lang w:eastAsia="en-GB"/>
              </w:rPr>
              <w:t xml:space="preserve">by the following Beneficiary(ies) </w:t>
            </w:r>
            <w:r w:rsidRPr="006405BD">
              <w:rPr>
                <w:rFonts w:ascii="Verdana" w:cs="Arial" w:eastAsia="Times New Roman" w:hAnsi="Verdana"/>
                <w:sz w:val="24"/>
                <w:szCs w:val="24"/>
                <w:lang w:eastAsia="en-GB"/>
              </w:rPr>
              <w:t>in the ASR is full, reliable and true.</w:t>
            </w:r>
          </w:p>
          <w:p w:rsidP="00E37589" w:rsidR="006F3248" w:rsidRDefault="009B50DB" w:rsidRPr="00E37589">
            <w:pPr>
              <w:spacing w:after="0" w:line="240" w:lineRule="auto"/>
              <w:rPr>
                <w:rFonts w:ascii="Verdana" w:cs="Arial" w:eastAsia="Times New Roman" w:hAnsi="Verdana"/>
                <w:sz w:val="24"/>
                <w:szCs w:val="24"/>
                <w:lang w:eastAsia="en-GB"/>
              </w:rPr>
            </w:pPr>
            <w:r>
              <w:rPr>
                <w:rFonts w:ascii="Verdana" w:cs="Arial" w:eastAsia="Times New Roman" w:hAnsi="Verdana"/>
                <w:noProof/>
                <w:sz w:val="24"/>
                <w:szCs w:val="24"/>
                <w:lang w:eastAsia="en-GB"/>
              </w:rPr>
              <w:t/>
            </w:r>
          </w:p>
          <w:p w:rsidP="00C11AF2" w:rsidR="00034E46" w:rsidRDefault="006F3248" w:rsidRPr="00B21FD8">
            <w:pPr>
              <w:pStyle w:val="ListParagraph"/>
              <w:numPr>
                <w:ilvl w:val="0"/>
                <w:numId w:val="4"/>
              </w:numPr>
              <w:ind w:hanging="357" w:left="714"/>
              <w:contextualSpacing w:val="0"/>
              <w:rPr>
                <w:rFonts w:ascii="Verdana" w:cs="Times New Roman" w:hAnsi="Verdana"/>
                <w:bCs/>
                <w:sz w:val="20"/>
              </w:rPr>
            </w:pPr>
            <w:r w:rsidRPr="006F3248">
              <w:rPr>
                <w:rFonts w:ascii="Verdana" w:hAnsi="Verdana"/>
                <w:bCs/>
                <w:noProof/>
                <w:sz w:val="20"/>
              </w:rPr>
              <w:t>Železnice Slovenskej republiky</w:t>
            </w:r>
            <w:r w:rsidR="00B21FD8" w:rsidRPr="006F3248">
              <w:rPr>
                <w:rFonts w:ascii="Verdana" w:cs="Times New Roman" w:hAnsi="Verdana"/>
                <w:bCs/>
                <w:sz w:val="20"/>
              </w:rPr>
              <w:t/>
            </w:r>
          </w:p>
        </w:tc>
      </w:tr>
      <w:tr w:rsidR="00034E46" w:rsidRPr="006405BD" w:rsidTr="0018280C">
        <w:trPr>
          <w:trHeight w:val="525"/>
          <w:jc w:val="center"/>
        </w:trPr>
        <w:tc>
          <w:tcPr>
            <w:tcW w:type="dxa" w:w="9594"/>
            <w:gridSpan w:val="2"/>
            <w:vMerge w:val="restart"/>
            <w:tcBorders>
              <w:top w:val="nil"/>
              <w:left w:color="auto" w:space="0" w:sz="8" w:val="single"/>
              <w:bottom w:val="nil"/>
              <w:right w:color="000000" w:space="0" w:sz="8" w:val="single"/>
            </w:tcBorders>
            <w:shd w:color="000000" w:fill="FFFF99" w:val="clear"/>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9594"/>
            <w:gridSpan w:val="2"/>
            <w:vMerge/>
            <w:tcBorders>
              <w:top w:val="nil"/>
              <w:left w:color="auto" w:space="0" w:sz="8" w:val="single"/>
              <w:bottom w:val="nil"/>
              <w:right w:color="000000"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300"/>
          <w:jc w:val="center"/>
        </w:trPr>
        <w:tc>
          <w:tcPr>
            <w:tcW w:type="dxa" w:w="2500"/>
            <w:tcBorders>
              <w:top w:color="auto" w:space="0" w:sz="18" w:val="single"/>
              <w:left w:color="auto" w:space="0" w:sz="8" w:val="single"/>
              <w:bottom w:val="nil"/>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Date and signature</w:t>
            </w:r>
          </w:p>
        </w:tc>
        <w:tc>
          <w:tcPr>
            <w:tcW w:type="dxa" w:w="7094"/>
            <w:vMerge w:val="restart"/>
            <w:tcBorders>
              <w:top w:color="auto" w:space="0" w:sz="8" w:val="single"/>
              <w:left w:color="auto" w:space="0" w:sz="8" w:val="single"/>
              <w:bottom w:color="000000" w:space="0" w:sz="8" w:val="single"/>
              <w:right w:color="000000" w:space="0" w:sz="8" w:val="single"/>
            </w:tcBorders>
            <w:shd w:color="auto" w:fill="auto" w:val="clear"/>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r w:rsidRPr="00373E25">
              <w:rPr>
                <w:rFonts w:ascii="Verdana" w:cs="Arial" w:eastAsia="Times New Roman" w:hAnsi="Verdana"/>
                <w:sz w:val="24"/>
                <w:szCs w:val="24"/>
                <w:lang w:eastAsia="en-GB"/>
              </w:rPr>
              <w:t>     </w:t>
            </w:r>
          </w:p>
        </w:tc>
      </w:tr>
      <w:tr w:rsidR="00034E46" w:rsidRPr="006405BD" w:rsidTr="0018280C">
        <w:trPr>
          <w:trHeight w:val="300"/>
          <w:jc w:val="center"/>
        </w:trPr>
        <w:tc>
          <w:tcPr>
            <w:tcW w:type="dxa" w:w="2500"/>
            <w:tcBorders>
              <w:top w:val="nil"/>
              <w:left w:color="auto" w:space="0" w:sz="8" w:val="single"/>
              <w:bottom w:val="nil"/>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bookmarkStart w:id="2" w:name="RANGE!B4"/>
            <w:bookmarkStart w:id="3" w:name="RANGE!B19"/>
            <w:bookmarkEnd w:id="2"/>
            <w:r w:rsidRPr="006405BD">
              <w:rPr>
                <w:rFonts w:ascii="Verdana" w:cs="Arial" w:eastAsia="Times New Roman" w:hAnsi="Verdana"/>
                <w:sz w:val="24"/>
                <w:szCs w:val="24"/>
                <w:lang w:eastAsia="en-GB"/>
              </w:rPr>
              <w:t> </w:t>
            </w:r>
            <w:bookmarkEnd w:id="3"/>
          </w:p>
        </w:tc>
        <w:tc>
          <w:tcPr>
            <w:tcW w:type="dxa" w:w="7094"/>
            <w:vMerge/>
            <w:tcBorders>
              <w:top w:val="nil"/>
              <w:left w:color="auto" w:space="0" w:sz="8" w:val="single"/>
              <w:bottom w:val="nil"/>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300"/>
          <w:jc w:val="center"/>
        </w:trPr>
        <w:tc>
          <w:tcPr>
            <w:tcW w:type="dxa" w:w="2500"/>
            <w:tcBorders>
              <w:top w:val="nil"/>
              <w:left w:color="auto" w:space="0" w:sz="8" w:val="single"/>
              <w:bottom w:val="nil"/>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 </w:t>
            </w:r>
          </w:p>
        </w:tc>
        <w:tc>
          <w:tcPr>
            <w:tcW w:type="dxa" w:w="7094"/>
            <w:vMerge/>
            <w:tcBorders>
              <w:top w:val="nil"/>
              <w:left w:color="auto" w:space="0" w:sz="8" w:val="single"/>
              <w:bottom w:val="nil"/>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310"/>
          <w:jc w:val="center"/>
        </w:trPr>
        <w:tc>
          <w:tcPr>
            <w:tcW w:type="dxa" w:w="2500"/>
            <w:tcBorders>
              <w:top w:val="nil"/>
              <w:left w:color="auto" w:space="0" w:sz="8" w:val="single"/>
              <w:bottom w:color="auto" w:space="0" w:sz="8"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 xml:space="preserve"> </w:t>
            </w:r>
          </w:p>
        </w:tc>
        <w:tc>
          <w:tcPr>
            <w:tcW w:type="dxa" w:w="7094"/>
            <w:vMerge/>
            <w:tcBorders>
              <w:top w:val="nil"/>
              <w:left w:color="auto" w:space="0" w:sz="8" w:val="single"/>
              <w:bottom w:color="auto"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val="restart"/>
            <w:tcBorders>
              <w:top w:val="nil"/>
              <w:left w:color="auto" w:space="0" w:sz="8" w:val="single"/>
              <w:bottom w:color="000000" w:space="0" w:sz="8" w:val="single"/>
              <w:right w:color="auto" w:space="0" w:sz="8" w:val="single"/>
            </w:tcBorders>
            <w:shd w:color="000000" w:fill="FFFF99" w:val="clear"/>
            <w:vAlign w:val="center"/>
            <w:hideMark/>
          </w:tcPr>
          <w:p w:rsidP="00887EE8" w:rsidR="00034E46" w:rsidRDefault="00034E46" w:rsidRPr="00373E25">
            <w:pPr>
              <w:spacing w:after="0" w:line="240" w:lineRule="auto"/>
              <w:rPr>
                <w:rFonts w:ascii="Verdana" w:cs="Arial" w:eastAsia="Times New Roman" w:hAnsi="Verdana"/>
                <w:sz w:val="24"/>
                <w:szCs w:val="24"/>
                <w:lang w:eastAsia="en-GB"/>
              </w:rPr>
            </w:pPr>
            <w:r w:rsidRPr="006405BD">
              <w:rPr>
                <w:rFonts w:ascii="Verdana" w:cs="Arial" w:eastAsia="Times New Roman" w:hAnsi="Verdana"/>
                <w:sz w:val="24"/>
                <w:szCs w:val="24"/>
                <w:lang w:eastAsia="en-GB"/>
              </w:rPr>
              <w:t>Stamp (optional)</w:t>
            </w: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r w:rsidR="00034E46" w:rsidRPr="006405BD" w:rsidTr="0018280C">
        <w:trPr>
          <w:trHeight w:val="292"/>
          <w:jc w:val="center"/>
        </w:trPr>
        <w:tc>
          <w:tcPr>
            <w:tcW w:type="dxa" w:w="2500"/>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c>
          <w:tcPr>
            <w:tcW w:type="dxa" w:w="7094"/>
            <w:vMerge/>
            <w:tcBorders>
              <w:top w:val="nil"/>
              <w:left w:color="auto" w:space="0" w:sz="8" w:val="single"/>
              <w:bottom w:color="000000" w:space="0" w:sz="8" w:val="single"/>
              <w:right w:color="auto" w:space="0" w:sz="8" w:val="single"/>
            </w:tcBorders>
            <w:vAlign w:val="center"/>
            <w:hideMark/>
          </w:tcPr>
          <w:p w:rsidP="00887EE8" w:rsidR="00034E46" w:rsidRDefault="00034E46" w:rsidRPr="006405BD">
            <w:pPr>
              <w:spacing w:after="0" w:line="240" w:lineRule="auto"/>
              <w:rPr>
                <w:rFonts w:ascii="Verdana" w:cs="Arial" w:eastAsia="Times New Roman" w:hAnsi="Verdana"/>
                <w:sz w:val="24"/>
                <w:szCs w:val="24"/>
                <w:lang w:eastAsia="en-GB"/>
              </w:rPr>
            </w:pPr>
          </w:p>
        </w:tc>
      </w:tr>
    </w:tbl>
    <w:p w:rsidP="00034E46" w:rsidR="00034E46" w:rsidRDefault="00034E46" w:rsidRPr="00DA58BF">
      <w:pPr>
        <w:spacing w:after="120" w:before="120"/>
        <w:ind w:left="113"/>
        <w:rPr>
          <w:rFonts w:ascii="Verdana" w:hAnsi="Verdana"/>
        </w:rPr>
      </w:pPr>
      <w:r w:rsidRPr="00DA58BF">
        <w:rPr>
          <w:rFonts w:ascii="Verdana" w:hAnsi="Verdana"/>
        </w:rPr>
        <w:t xml:space="preserve">* In line with the terms of Art. </w:t>
      </w:r>
      <w:r>
        <w:rPr>
          <w:rFonts w:ascii="Verdana" w:hAnsi="Verdana"/>
        </w:rPr>
        <w:t>22 of the CEF Regulation</w:t>
      </w:r>
    </w:p>
    <w:p w:rsidR="0088073E" w:rsidRDefault="0088073E"/>
    <w:p w:rsidR="00AB36AE" w:rsidRDefault="00AB36AE"/>
    <w:sectPr w:rsidR="00AB36AE" w:rsidSect="00876A81">
      <w:pgSz w:h="16838" w:w="11906"/>
      <w:pgMar w:bottom="1440" w:footer="709" w:gutter="0" w:header="709" w:left="1440" w:right="1440" w:top="7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B6D" w:rsidRDefault="00E32B6D" w:rsidP="00D51F72">
      <w:pPr>
        <w:spacing w:after="0" w:line="240" w:lineRule="auto"/>
      </w:pPr>
      <w:r>
        <w:separator/>
      </w:r>
    </w:p>
  </w:endnote>
  <w:endnote w:type="continuationSeparator" w:id="0">
    <w:p w:rsidR="00E32B6D" w:rsidRDefault="00E32B6D" w:rsidP="00D51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sdt>
    <w:sdtPr>
      <w:id w:val="38025320"/>
      <w:docPartObj>
        <w:docPartGallery w:val="Page Numbers (Bottom of Page)"/>
        <w:docPartUnique/>
      </w:docPartObj>
    </w:sdtPr>
    <w:sdtEndPr>
      <w:rPr>
        <w:noProof/>
      </w:rPr>
    </w:sdtEndPr>
    <w:sdtContent>
      <w:p w:rsidP="00946550" w:rsidR="00B96929" w:rsidRDefault="00E035B3">
        <w:pPr>
          <w:pStyle w:val="Footer"/>
          <w:rPr>
            <w:noProof/>
          </w:rPr>
        </w:pPr>
        <w:r w:rsidR="00946550">
          <w:rPr>
            <w:noProof/>
          </w:rPr>
          <w:t>2015-SK-TM-0200-W_ASR2023_1_20230330_1056</w:t>
        </w:r>
        <w:r w:rsidR="00946550">
          <w:ptab w:alignment="right" w:leader="none" w:relativeTo="margin"/>
        </w:r>
        <w:r w:rsidR="00B96929">
          <w:fldChar w:fldCharType="begin"/>
        </w:r>
        <w:r w:rsidR="00B96929">
          <w:instrText xml:space="preserve"> PAGE   \* MERGEFORMAT </w:instrText>
        </w:r>
        <w:r w:rsidR="00B96929">
          <w:fldChar w:fldCharType="separate"/>
        </w:r>
        <w:r w:rsidR="00251DEF">
          <w:rPr>
            <w:noProof/>
          </w:rPr>
          <w:t>5</w:t>
        </w:r>
        <w:r w:rsidR="00B96929">
          <w:rPr>
            <w:noProof/>
          </w:rPr>
          <w:fldChar w:fldCharType="end"/>
        </w:r>
      </w:p>
      <w:p w:rsidP="00B96929" w:rsidR="00D51F72" w:rsidRDefault="00E32B6D">
        <w:pPr>
          <w:pStyle w:val="Footer"/>
          <w:jc w:val="right"/>
          <w:rPr>
            <w:noProof/>
          </w:rPr>
        </w:pPr>
      </w:p>
    </w:sdtContent>
  </w:sdt>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D51F72" w:rsidR="00E32B6D" w:rsidRDefault="00E32B6D">
      <w:pPr>
        <w:spacing w:after="0" w:line="240" w:lineRule="auto"/>
      </w:pPr>
      <w:r>
        <w:separator/>
      </w:r>
    </w:p>
  </w:footnote>
  <w:footnote w:id="0" w:type="continuationSeparator">
    <w:p w:rsidP="00D51F72" w:rsidR="00E32B6D" w:rsidRDefault="00E32B6D">
      <w:pPr>
        <w:spacing w:after="0" w:line="240" w:lineRule="auto"/>
      </w:pPr>
      <w:r>
        <w:continuationSeparator/>
      </w:r>
    </w:p>
  </w:footnote>
</w:footnotes>
</file>

<file path=word/header1.xml><?xml version="1.0" encoding="utf-8"?>
<w:hd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7C468B" w:rsidR="00D51F72" w:rsidRDefault="007C468B">
    <w:pPr>
      <w:spacing w:after="0" w:line="240" w:lineRule="auto"/>
      <w:jc w:val="right"/>
    </w:pPr>
    <w:r w:rsidRPr="00DB078F">
      <w:rPr>
        <w:i/>
      </w:rPr>
      <w:t xml:space="preserve">Reporting period: </w:t>
    </w:r>
    <w:r w:rsidR="00DC7DF8">
      <w:rPr>
        <w:i/>
        <w:noProof/>
      </w:rPr>
      <w:t>1 January 2022 - 31 December 2022</w: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42FC0FBB"/>
    <w:multiLevelType w:val="hybridMultilevel"/>
    <w:tmpl w:val="541E9C7A"/>
    <w:lvl w:ilvl="0" w:tplc="E6EA5A96">
      <w:start w:val="1"/>
      <w:numFmt w:val="bullet"/>
      <w:lvlText w:val="£"/>
      <w:lvlJc w:val="left"/>
      <w:pPr>
        <w:ind w:hanging="360" w:left="720"/>
      </w:pPr>
      <w:rPr>
        <w:rFonts w:ascii="Wingdings 2" w:hAnsi="Wingdings 2"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
    <w:nsid w:val="700F4B24"/>
    <w:multiLevelType w:val="hybridMultilevel"/>
    <w:tmpl w:val="8E0A96DE"/>
    <w:lvl w:ilvl="0" w:tplc="542694EE">
      <w:start w:val="1"/>
      <w:numFmt w:val="lowerLetter"/>
      <w:lvlText w:val="%1)"/>
      <w:lvlJc w:val="left"/>
      <w:pPr>
        <w:ind w:hanging="360" w:left="360"/>
      </w:pPr>
      <w:rPr>
        <w:b/>
        <w:i w:val="0"/>
      </w:rPr>
    </w:lvl>
    <w:lvl w:ilvl="1" w:tentative="1" w:tplc="08090019">
      <w:start w:val="1"/>
      <w:numFmt w:val="lowerLetter"/>
      <w:lvlText w:val="%2."/>
      <w:lvlJc w:val="left"/>
      <w:pPr>
        <w:ind w:hanging="360" w:left="1080"/>
      </w:pPr>
    </w:lvl>
    <w:lvl w:ilvl="2" w:tentative="1" w:tplc="0809001B">
      <w:start w:val="1"/>
      <w:numFmt w:val="lowerRoman"/>
      <w:lvlText w:val="%3."/>
      <w:lvlJc w:val="right"/>
      <w:pPr>
        <w:ind w:hanging="180" w:left="1800"/>
      </w:pPr>
    </w:lvl>
    <w:lvl w:ilvl="3" w:tentative="1" w:tplc="0809000F">
      <w:start w:val="1"/>
      <w:numFmt w:val="decimal"/>
      <w:lvlText w:val="%4."/>
      <w:lvlJc w:val="left"/>
      <w:pPr>
        <w:ind w:hanging="360" w:left="2520"/>
      </w:pPr>
    </w:lvl>
    <w:lvl w:ilvl="4" w:tentative="1" w:tplc="08090019">
      <w:start w:val="1"/>
      <w:numFmt w:val="lowerLetter"/>
      <w:lvlText w:val="%5."/>
      <w:lvlJc w:val="left"/>
      <w:pPr>
        <w:ind w:hanging="360" w:left="3240"/>
      </w:pPr>
    </w:lvl>
    <w:lvl w:ilvl="5" w:tentative="1" w:tplc="0809001B">
      <w:start w:val="1"/>
      <w:numFmt w:val="lowerRoman"/>
      <w:lvlText w:val="%6."/>
      <w:lvlJc w:val="right"/>
      <w:pPr>
        <w:ind w:hanging="180" w:left="3960"/>
      </w:pPr>
    </w:lvl>
    <w:lvl w:ilvl="6" w:tentative="1" w:tplc="0809000F">
      <w:start w:val="1"/>
      <w:numFmt w:val="decimal"/>
      <w:lvlText w:val="%7."/>
      <w:lvlJc w:val="left"/>
      <w:pPr>
        <w:ind w:hanging="360" w:left="4680"/>
      </w:pPr>
    </w:lvl>
    <w:lvl w:ilvl="7" w:tentative="1" w:tplc="08090019">
      <w:start w:val="1"/>
      <w:numFmt w:val="lowerLetter"/>
      <w:lvlText w:val="%8."/>
      <w:lvlJc w:val="left"/>
      <w:pPr>
        <w:ind w:hanging="360" w:left="5400"/>
      </w:pPr>
    </w:lvl>
    <w:lvl w:ilvl="8" w:tentative="1" w:tplc="0809001B">
      <w:start w:val="1"/>
      <w:numFmt w:val="lowerRoman"/>
      <w:lvlText w:val="%9."/>
      <w:lvlJc w:val="right"/>
      <w:pPr>
        <w:ind w:hanging="180" w:left="6120"/>
      </w:pPr>
    </w:lvl>
  </w:abstractNum>
  <w:abstractNum w15:restartNumberingAfterBreak="0" w:abstractNumId="2">
    <w:nsid w:val="74471AFE"/>
    <w:multiLevelType w:val="hybridMultilevel"/>
    <w:tmpl w:val="93884DA6"/>
    <w:lvl w:ilvl="0" w:tplc="08090017">
      <w:start w:val="1"/>
      <w:numFmt w:val="lowerLetter"/>
      <w:lvlText w:val="%1)"/>
      <w:lvlJc w:val="left"/>
      <w:pPr>
        <w:ind w:hanging="360" w:left="473"/>
      </w:pPr>
      <w:rPr>
        <w:rFonts w:hint="default"/>
      </w:rPr>
    </w:lvl>
    <w:lvl w:ilvl="1" w:tentative="1" w:tplc="08090003">
      <w:start w:val="1"/>
      <w:numFmt w:val="bullet"/>
      <w:lvlText w:val="o"/>
      <w:lvlJc w:val="left"/>
      <w:pPr>
        <w:ind w:hanging="360" w:left="1193"/>
      </w:pPr>
      <w:rPr>
        <w:rFonts w:ascii="Courier New" w:cs="Courier New" w:hAnsi="Courier New" w:hint="default"/>
      </w:rPr>
    </w:lvl>
    <w:lvl w:ilvl="2" w:tentative="1" w:tplc="08090005">
      <w:start w:val="1"/>
      <w:numFmt w:val="bullet"/>
      <w:lvlText w:val=""/>
      <w:lvlJc w:val="left"/>
      <w:pPr>
        <w:ind w:hanging="360" w:left="1913"/>
      </w:pPr>
      <w:rPr>
        <w:rFonts w:ascii="Wingdings" w:hAnsi="Wingdings" w:hint="default"/>
      </w:rPr>
    </w:lvl>
    <w:lvl w:ilvl="3" w:tentative="1" w:tplc="08090001">
      <w:start w:val="1"/>
      <w:numFmt w:val="bullet"/>
      <w:lvlText w:val=""/>
      <w:lvlJc w:val="left"/>
      <w:pPr>
        <w:ind w:hanging="360" w:left="2633"/>
      </w:pPr>
      <w:rPr>
        <w:rFonts w:ascii="Symbol" w:hAnsi="Symbol" w:hint="default"/>
      </w:rPr>
    </w:lvl>
    <w:lvl w:ilvl="4" w:tentative="1" w:tplc="08090003">
      <w:start w:val="1"/>
      <w:numFmt w:val="bullet"/>
      <w:lvlText w:val="o"/>
      <w:lvlJc w:val="left"/>
      <w:pPr>
        <w:ind w:hanging="360" w:left="3353"/>
      </w:pPr>
      <w:rPr>
        <w:rFonts w:ascii="Courier New" w:cs="Courier New" w:hAnsi="Courier New" w:hint="default"/>
      </w:rPr>
    </w:lvl>
    <w:lvl w:ilvl="5" w:tentative="1" w:tplc="08090005">
      <w:start w:val="1"/>
      <w:numFmt w:val="bullet"/>
      <w:lvlText w:val=""/>
      <w:lvlJc w:val="left"/>
      <w:pPr>
        <w:ind w:hanging="360" w:left="4073"/>
      </w:pPr>
      <w:rPr>
        <w:rFonts w:ascii="Wingdings" w:hAnsi="Wingdings" w:hint="default"/>
      </w:rPr>
    </w:lvl>
    <w:lvl w:ilvl="6" w:tentative="1" w:tplc="08090001">
      <w:start w:val="1"/>
      <w:numFmt w:val="bullet"/>
      <w:lvlText w:val=""/>
      <w:lvlJc w:val="left"/>
      <w:pPr>
        <w:ind w:hanging="360" w:left="4793"/>
      </w:pPr>
      <w:rPr>
        <w:rFonts w:ascii="Symbol" w:hAnsi="Symbol" w:hint="default"/>
      </w:rPr>
    </w:lvl>
    <w:lvl w:ilvl="7" w:tentative="1" w:tplc="08090003">
      <w:start w:val="1"/>
      <w:numFmt w:val="bullet"/>
      <w:lvlText w:val="o"/>
      <w:lvlJc w:val="left"/>
      <w:pPr>
        <w:ind w:hanging="360" w:left="5513"/>
      </w:pPr>
      <w:rPr>
        <w:rFonts w:ascii="Courier New" w:cs="Courier New" w:hAnsi="Courier New" w:hint="default"/>
      </w:rPr>
    </w:lvl>
    <w:lvl w:ilvl="8" w:tentative="1" w:tplc="08090005">
      <w:start w:val="1"/>
      <w:numFmt w:val="bullet"/>
      <w:lvlText w:val=""/>
      <w:lvlJc w:val="left"/>
      <w:pPr>
        <w:ind w:hanging="360" w:left="6233"/>
      </w:pPr>
      <w:rPr>
        <w:rFonts w:ascii="Wingdings" w:hAnsi="Wingdings" w:hint="default"/>
      </w:r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removePersonalInformation/>
  <w:removeDateAndTime/>
  <w:documentProtection w:enforcement="1" w:edit="readOnly" w:salt="qeu9ivPcdDlrDJEv2kgF/w==" w:hash="yiXznGKCh4TfLlFBBInrCPNCv/A=" w:cryptSpinCount="100000" w:cryptAlgorithmType="typeAny" w:cryptAlgorithmClass="hash" w:cryptProviderType="rsaFull" w:cryptAlgorithmSid="4"/>
  <w:defaultTabStop w:val="720"/>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B60"/>
    <w:rsid w:val="000113BF"/>
    <w:rsid w:val="00012B21"/>
    <w:rsid w:val="00025515"/>
    <w:rsid w:val="000260A2"/>
    <w:rsid w:val="0002778D"/>
    <w:rsid w:val="00027F4D"/>
    <w:rsid w:val="00034E46"/>
    <w:rsid w:val="000354C1"/>
    <w:rsid w:val="00053FC4"/>
    <w:rsid w:val="0005410F"/>
    <w:rsid w:val="00054F39"/>
    <w:rsid w:val="000631F7"/>
    <w:rsid w:val="000809A7"/>
    <w:rsid w:val="00082602"/>
    <w:rsid w:val="000832D2"/>
    <w:rsid w:val="00084A9D"/>
    <w:rsid w:val="00086FAC"/>
    <w:rsid w:val="00087AE6"/>
    <w:rsid w:val="000A3373"/>
    <w:rsid w:val="000A7141"/>
    <w:rsid w:val="000A7676"/>
    <w:rsid w:val="000B07F3"/>
    <w:rsid w:val="000B112E"/>
    <w:rsid w:val="000B62E9"/>
    <w:rsid w:val="000C116D"/>
    <w:rsid w:val="000C4382"/>
    <w:rsid w:val="000C4905"/>
    <w:rsid w:val="000C4B70"/>
    <w:rsid w:val="000C5A38"/>
    <w:rsid w:val="000D5E6F"/>
    <w:rsid w:val="000E3766"/>
    <w:rsid w:val="000E6B2B"/>
    <w:rsid w:val="000F2860"/>
    <w:rsid w:val="000F4B41"/>
    <w:rsid w:val="000F75C8"/>
    <w:rsid w:val="00101CE2"/>
    <w:rsid w:val="001108B7"/>
    <w:rsid w:val="00112088"/>
    <w:rsid w:val="00113C83"/>
    <w:rsid w:val="00114F23"/>
    <w:rsid w:val="001279D8"/>
    <w:rsid w:val="0013166D"/>
    <w:rsid w:val="00131D17"/>
    <w:rsid w:val="00136AD4"/>
    <w:rsid w:val="00137F72"/>
    <w:rsid w:val="001406A3"/>
    <w:rsid w:val="00150FB2"/>
    <w:rsid w:val="00151E51"/>
    <w:rsid w:val="0018208C"/>
    <w:rsid w:val="0018280C"/>
    <w:rsid w:val="00183D92"/>
    <w:rsid w:val="0019762F"/>
    <w:rsid w:val="001A3DC3"/>
    <w:rsid w:val="001A5F5E"/>
    <w:rsid w:val="001A686D"/>
    <w:rsid w:val="001B0513"/>
    <w:rsid w:val="001B715F"/>
    <w:rsid w:val="001E0C6D"/>
    <w:rsid w:val="001E30E7"/>
    <w:rsid w:val="001F5E72"/>
    <w:rsid w:val="001F5EB1"/>
    <w:rsid w:val="0020115A"/>
    <w:rsid w:val="002011BD"/>
    <w:rsid w:val="0020360A"/>
    <w:rsid w:val="002040AA"/>
    <w:rsid w:val="00206781"/>
    <w:rsid w:val="002103C4"/>
    <w:rsid w:val="00211767"/>
    <w:rsid w:val="00211B82"/>
    <w:rsid w:val="00225F87"/>
    <w:rsid w:val="00234C77"/>
    <w:rsid w:val="00240B15"/>
    <w:rsid w:val="00242468"/>
    <w:rsid w:val="00250199"/>
    <w:rsid w:val="00250214"/>
    <w:rsid w:val="00251DEF"/>
    <w:rsid w:val="00253D49"/>
    <w:rsid w:val="0026012C"/>
    <w:rsid w:val="0026043A"/>
    <w:rsid w:val="00274044"/>
    <w:rsid w:val="00275274"/>
    <w:rsid w:val="00281517"/>
    <w:rsid w:val="00293A1D"/>
    <w:rsid w:val="002A0EA4"/>
    <w:rsid w:val="002A5919"/>
    <w:rsid w:val="002A6691"/>
    <w:rsid w:val="002B2CF2"/>
    <w:rsid w:val="002B49F3"/>
    <w:rsid w:val="002B7C68"/>
    <w:rsid w:val="002C2126"/>
    <w:rsid w:val="002C31DC"/>
    <w:rsid w:val="002D614D"/>
    <w:rsid w:val="002E2FFD"/>
    <w:rsid w:val="002F32A4"/>
    <w:rsid w:val="00300013"/>
    <w:rsid w:val="00301882"/>
    <w:rsid w:val="00302030"/>
    <w:rsid w:val="00310E2D"/>
    <w:rsid w:val="00315323"/>
    <w:rsid w:val="00320534"/>
    <w:rsid w:val="00322E46"/>
    <w:rsid w:val="003239FA"/>
    <w:rsid w:val="00326916"/>
    <w:rsid w:val="00327C43"/>
    <w:rsid w:val="00330DCA"/>
    <w:rsid w:val="00331949"/>
    <w:rsid w:val="0033370C"/>
    <w:rsid w:val="00343657"/>
    <w:rsid w:val="00345B1A"/>
    <w:rsid w:val="00352386"/>
    <w:rsid w:val="00352B60"/>
    <w:rsid w:val="0036557C"/>
    <w:rsid w:val="003655CE"/>
    <w:rsid w:val="0037183C"/>
    <w:rsid w:val="00381385"/>
    <w:rsid w:val="00393F18"/>
    <w:rsid w:val="003B6698"/>
    <w:rsid w:val="003B7434"/>
    <w:rsid w:val="003C362F"/>
    <w:rsid w:val="003C4FB2"/>
    <w:rsid w:val="003C51D3"/>
    <w:rsid w:val="003C7E88"/>
    <w:rsid w:val="003D1413"/>
    <w:rsid w:val="003D308C"/>
    <w:rsid w:val="003D4D07"/>
    <w:rsid w:val="003E02CC"/>
    <w:rsid w:val="003E0CDE"/>
    <w:rsid w:val="003F2880"/>
    <w:rsid w:val="0040102B"/>
    <w:rsid w:val="0040170C"/>
    <w:rsid w:val="00416A7B"/>
    <w:rsid w:val="004171A3"/>
    <w:rsid w:val="00444421"/>
    <w:rsid w:val="00454DB7"/>
    <w:rsid w:val="00462537"/>
    <w:rsid w:val="004629A1"/>
    <w:rsid w:val="00482C8D"/>
    <w:rsid w:val="00491DF7"/>
    <w:rsid w:val="004950A2"/>
    <w:rsid w:val="0049608D"/>
    <w:rsid w:val="004A08CF"/>
    <w:rsid w:val="004A4B66"/>
    <w:rsid w:val="004B248C"/>
    <w:rsid w:val="004B31A7"/>
    <w:rsid w:val="004B398B"/>
    <w:rsid w:val="004D0718"/>
    <w:rsid w:val="004D110B"/>
    <w:rsid w:val="004D2F3C"/>
    <w:rsid w:val="004D54B0"/>
    <w:rsid w:val="004E1153"/>
    <w:rsid w:val="004E2095"/>
    <w:rsid w:val="004E5060"/>
    <w:rsid w:val="004E58C0"/>
    <w:rsid w:val="004E649A"/>
    <w:rsid w:val="00500527"/>
    <w:rsid w:val="00507998"/>
    <w:rsid w:val="005142B2"/>
    <w:rsid w:val="00514A7B"/>
    <w:rsid w:val="00514B03"/>
    <w:rsid w:val="00526E24"/>
    <w:rsid w:val="00530BD2"/>
    <w:rsid w:val="0054599F"/>
    <w:rsid w:val="00547505"/>
    <w:rsid w:val="005533CC"/>
    <w:rsid w:val="00572D2D"/>
    <w:rsid w:val="005951AF"/>
    <w:rsid w:val="00597532"/>
    <w:rsid w:val="00597DD7"/>
    <w:rsid w:val="005A7064"/>
    <w:rsid w:val="005A76C6"/>
    <w:rsid w:val="005B5667"/>
    <w:rsid w:val="005B6AE4"/>
    <w:rsid w:val="005C251A"/>
    <w:rsid w:val="005C32CB"/>
    <w:rsid w:val="005D10E5"/>
    <w:rsid w:val="005D1F4A"/>
    <w:rsid w:val="005D4FB5"/>
    <w:rsid w:val="005D5B5A"/>
    <w:rsid w:val="005E3EAD"/>
    <w:rsid w:val="005E52DC"/>
    <w:rsid w:val="005E6BC3"/>
    <w:rsid w:val="005F5091"/>
    <w:rsid w:val="005F6847"/>
    <w:rsid w:val="0060197A"/>
    <w:rsid w:val="00605057"/>
    <w:rsid w:val="0061142E"/>
    <w:rsid w:val="00617380"/>
    <w:rsid w:val="00625939"/>
    <w:rsid w:val="00630816"/>
    <w:rsid w:val="00640E37"/>
    <w:rsid w:val="00642E35"/>
    <w:rsid w:val="00650AD1"/>
    <w:rsid w:val="006530A0"/>
    <w:rsid w:val="00662D69"/>
    <w:rsid w:val="00665206"/>
    <w:rsid w:val="00685259"/>
    <w:rsid w:val="00693CEA"/>
    <w:rsid w:val="006B06C4"/>
    <w:rsid w:val="006D4CFE"/>
    <w:rsid w:val="006D5EDD"/>
    <w:rsid w:val="006D6393"/>
    <w:rsid w:val="006D6621"/>
    <w:rsid w:val="006D7947"/>
    <w:rsid w:val="006E487D"/>
    <w:rsid w:val="006E7A35"/>
    <w:rsid w:val="006F3248"/>
    <w:rsid w:val="006F5AFB"/>
    <w:rsid w:val="006F6D28"/>
    <w:rsid w:val="00701BF7"/>
    <w:rsid w:val="007038E6"/>
    <w:rsid w:val="00705BBB"/>
    <w:rsid w:val="00706ABB"/>
    <w:rsid w:val="0070744C"/>
    <w:rsid w:val="00712C37"/>
    <w:rsid w:val="0074479D"/>
    <w:rsid w:val="0076431D"/>
    <w:rsid w:val="007752E1"/>
    <w:rsid w:val="00791578"/>
    <w:rsid w:val="0079517F"/>
    <w:rsid w:val="00796FA7"/>
    <w:rsid w:val="007B409B"/>
    <w:rsid w:val="007B7FD1"/>
    <w:rsid w:val="007C468B"/>
    <w:rsid w:val="007C5003"/>
    <w:rsid w:val="007C7002"/>
    <w:rsid w:val="007C7537"/>
    <w:rsid w:val="007E1570"/>
    <w:rsid w:val="007E1A22"/>
    <w:rsid w:val="00801918"/>
    <w:rsid w:val="00802B58"/>
    <w:rsid w:val="00811829"/>
    <w:rsid w:val="00816707"/>
    <w:rsid w:val="008211E3"/>
    <w:rsid w:val="00827137"/>
    <w:rsid w:val="008316F5"/>
    <w:rsid w:val="00832CC2"/>
    <w:rsid w:val="008366EB"/>
    <w:rsid w:val="00841369"/>
    <w:rsid w:val="0086003A"/>
    <w:rsid w:val="008607F6"/>
    <w:rsid w:val="00870A9C"/>
    <w:rsid w:val="008711C3"/>
    <w:rsid w:val="00875A06"/>
    <w:rsid w:val="0087641F"/>
    <w:rsid w:val="00876A81"/>
    <w:rsid w:val="0088073E"/>
    <w:rsid w:val="00893ED9"/>
    <w:rsid w:val="0089779F"/>
    <w:rsid w:val="008A130B"/>
    <w:rsid w:val="008A3E89"/>
    <w:rsid w:val="008B0872"/>
    <w:rsid w:val="008B2B9A"/>
    <w:rsid w:val="008B6394"/>
    <w:rsid w:val="008C0647"/>
    <w:rsid w:val="008E5F4D"/>
    <w:rsid w:val="008F0B5A"/>
    <w:rsid w:val="00900634"/>
    <w:rsid w:val="00907A7D"/>
    <w:rsid w:val="009123D2"/>
    <w:rsid w:val="00912455"/>
    <w:rsid w:val="009244AE"/>
    <w:rsid w:val="00924DF9"/>
    <w:rsid w:val="00927B0E"/>
    <w:rsid w:val="00933468"/>
    <w:rsid w:val="00946550"/>
    <w:rsid w:val="0094724E"/>
    <w:rsid w:val="00950F3B"/>
    <w:rsid w:val="009522E9"/>
    <w:rsid w:val="00961318"/>
    <w:rsid w:val="0097177E"/>
    <w:rsid w:val="00987C3C"/>
    <w:rsid w:val="009A6BA9"/>
    <w:rsid w:val="009A7994"/>
    <w:rsid w:val="009B21B1"/>
    <w:rsid w:val="009B486C"/>
    <w:rsid w:val="009B50DB"/>
    <w:rsid w:val="009B617A"/>
    <w:rsid w:val="009C0B54"/>
    <w:rsid w:val="009D388D"/>
    <w:rsid w:val="009D499B"/>
    <w:rsid w:val="009D6F65"/>
    <w:rsid w:val="009E5213"/>
    <w:rsid w:val="00A022CE"/>
    <w:rsid w:val="00A078D4"/>
    <w:rsid w:val="00A15062"/>
    <w:rsid w:val="00A15456"/>
    <w:rsid w:val="00A2005A"/>
    <w:rsid w:val="00A225C0"/>
    <w:rsid w:val="00A30AE5"/>
    <w:rsid w:val="00A33AA4"/>
    <w:rsid w:val="00A42C80"/>
    <w:rsid w:val="00A44255"/>
    <w:rsid w:val="00A52058"/>
    <w:rsid w:val="00A56398"/>
    <w:rsid w:val="00A571D5"/>
    <w:rsid w:val="00A579A5"/>
    <w:rsid w:val="00A659C2"/>
    <w:rsid w:val="00A66273"/>
    <w:rsid w:val="00A71855"/>
    <w:rsid w:val="00A877EE"/>
    <w:rsid w:val="00A90FA2"/>
    <w:rsid w:val="00A91352"/>
    <w:rsid w:val="00A91FDB"/>
    <w:rsid w:val="00AA054E"/>
    <w:rsid w:val="00AA5712"/>
    <w:rsid w:val="00AB2D5F"/>
    <w:rsid w:val="00AB36AE"/>
    <w:rsid w:val="00AC12CF"/>
    <w:rsid w:val="00AC1B86"/>
    <w:rsid w:val="00AD0573"/>
    <w:rsid w:val="00AD502F"/>
    <w:rsid w:val="00AD78A7"/>
    <w:rsid w:val="00AE22E8"/>
    <w:rsid w:val="00AE607C"/>
    <w:rsid w:val="00AF0CA4"/>
    <w:rsid w:val="00AF236A"/>
    <w:rsid w:val="00AF7769"/>
    <w:rsid w:val="00AF7E54"/>
    <w:rsid w:val="00B04B22"/>
    <w:rsid w:val="00B14588"/>
    <w:rsid w:val="00B20F74"/>
    <w:rsid w:val="00B21388"/>
    <w:rsid w:val="00B21FD8"/>
    <w:rsid w:val="00B23A85"/>
    <w:rsid w:val="00B30A40"/>
    <w:rsid w:val="00B41FB2"/>
    <w:rsid w:val="00B42F50"/>
    <w:rsid w:val="00B52033"/>
    <w:rsid w:val="00B548A2"/>
    <w:rsid w:val="00B96929"/>
    <w:rsid w:val="00B96B89"/>
    <w:rsid w:val="00BC26B8"/>
    <w:rsid w:val="00BC6364"/>
    <w:rsid w:val="00BD32D3"/>
    <w:rsid w:val="00BD647E"/>
    <w:rsid w:val="00BE2E80"/>
    <w:rsid w:val="00BF2AA0"/>
    <w:rsid w:val="00BF4E76"/>
    <w:rsid w:val="00BF6711"/>
    <w:rsid w:val="00C03F13"/>
    <w:rsid w:val="00C07328"/>
    <w:rsid w:val="00C11AF2"/>
    <w:rsid w:val="00C12C1A"/>
    <w:rsid w:val="00C22FA6"/>
    <w:rsid w:val="00C26425"/>
    <w:rsid w:val="00C30886"/>
    <w:rsid w:val="00C41BDB"/>
    <w:rsid w:val="00C44436"/>
    <w:rsid w:val="00C506AA"/>
    <w:rsid w:val="00C52828"/>
    <w:rsid w:val="00C72F0D"/>
    <w:rsid w:val="00C7427B"/>
    <w:rsid w:val="00C747E3"/>
    <w:rsid w:val="00C80F64"/>
    <w:rsid w:val="00C83F62"/>
    <w:rsid w:val="00C8563A"/>
    <w:rsid w:val="00C873BE"/>
    <w:rsid w:val="00C91945"/>
    <w:rsid w:val="00C9327E"/>
    <w:rsid w:val="00CA47A9"/>
    <w:rsid w:val="00CA70A8"/>
    <w:rsid w:val="00CB17EA"/>
    <w:rsid w:val="00CB18FA"/>
    <w:rsid w:val="00CB1ECD"/>
    <w:rsid w:val="00CB3AAF"/>
    <w:rsid w:val="00CB595A"/>
    <w:rsid w:val="00CB6370"/>
    <w:rsid w:val="00CC2DEA"/>
    <w:rsid w:val="00CC34A7"/>
    <w:rsid w:val="00CC456A"/>
    <w:rsid w:val="00CD3869"/>
    <w:rsid w:val="00CE5E8D"/>
    <w:rsid w:val="00CE6902"/>
    <w:rsid w:val="00CE7E27"/>
    <w:rsid w:val="00D02ED0"/>
    <w:rsid w:val="00D03C12"/>
    <w:rsid w:val="00D1418D"/>
    <w:rsid w:val="00D15BEF"/>
    <w:rsid w:val="00D20338"/>
    <w:rsid w:val="00D2611D"/>
    <w:rsid w:val="00D27D7F"/>
    <w:rsid w:val="00D31A68"/>
    <w:rsid w:val="00D329F7"/>
    <w:rsid w:val="00D403B6"/>
    <w:rsid w:val="00D405AC"/>
    <w:rsid w:val="00D42BDA"/>
    <w:rsid w:val="00D51F72"/>
    <w:rsid w:val="00D714FE"/>
    <w:rsid w:val="00D760B4"/>
    <w:rsid w:val="00D805A0"/>
    <w:rsid w:val="00D83623"/>
    <w:rsid w:val="00D8785D"/>
    <w:rsid w:val="00D9061D"/>
    <w:rsid w:val="00DA1E2E"/>
    <w:rsid w:val="00DA2C01"/>
    <w:rsid w:val="00DA5BB0"/>
    <w:rsid w:val="00DA5E5D"/>
    <w:rsid w:val="00DB2DC6"/>
    <w:rsid w:val="00DC0C1A"/>
    <w:rsid w:val="00DC7DF8"/>
    <w:rsid w:val="00DD6FA8"/>
    <w:rsid w:val="00DF3C26"/>
    <w:rsid w:val="00E035B3"/>
    <w:rsid w:val="00E12EEF"/>
    <w:rsid w:val="00E13F52"/>
    <w:rsid w:val="00E272A5"/>
    <w:rsid w:val="00E27E09"/>
    <w:rsid w:val="00E32B6D"/>
    <w:rsid w:val="00E37589"/>
    <w:rsid w:val="00E46FF6"/>
    <w:rsid w:val="00E5024E"/>
    <w:rsid w:val="00E515B7"/>
    <w:rsid w:val="00E61275"/>
    <w:rsid w:val="00E61441"/>
    <w:rsid w:val="00E6164F"/>
    <w:rsid w:val="00E658FD"/>
    <w:rsid w:val="00E677E4"/>
    <w:rsid w:val="00E73451"/>
    <w:rsid w:val="00E81DA7"/>
    <w:rsid w:val="00E8478C"/>
    <w:rsid w:val="00E90E36"/>
    <w:rsid w:val="00E923E9"/>
    <w:rsid w:val="00E925ED"/>
    <w:rsid w:val="00E94CDB"/>
    <w:rsid w:val="00E97115"/>
    <w:rsid w:val="00EB0CF9"/>
    <w:rsid w:val="00EB5D94"/>
    <w:rsid w:val="00EB61FF"/>
    <w:rsid w:val="00ED578B"/>
    <w:rsid w:val="00EE47ED"/>
    <w:rsid w:val="00EE4E18"/>
    <w:rsid w:val="00EF34CA"/>
    <w:rsid w:val="00EF48B5"/>
    <w:rsid w:val="00EF67CD"/>
    <w:rsid w:val="00F102E8"/>
    <w:rsid w:val="00F154EC"/>
    <w:rsid w:val="00F178C7"/>
    <w:rsid w:val="00F17C41"/>
    <w:rsid w:val="00F27E39"/>
    <w:rsid w:val="00F30DFB"/>
    <w:rsid w:val="00F37565"/>
    <w:rsid w:val="00F418EC"/>
    <w:rsid w:val="00F51FEF"/>
    <w:rsid w:val="00F53A95"/>
    <w:rsid w:val="00F57728"/>
    <w:rsid w:val="00F60C89"/>
    <w:rsid w:val="00F60D71"/>
    <w:rsid w:val="00F647A2"/>
    <w:rsid w:val="00F80632"/>
    <w:rsid w:val="00F82123"/>
    <w:rsid w:val="00F92609"/>
    <w:rsid w:val="00FA3869"/>
    <w:rsid w:val="00FA5D13"/>
    <w:rsid w:val="00FA68C4"/>
    <w:rsid w:val="00FC1A78"/>
    <w:rsid w:val="00FC63CA"/>
    <w:rsid w:val="00FD13F3"/>
    <w:rsid w:val="00FD7A8E"/>
    <w:rsid w:val="00FE35C9"/>
    <w:rsid w:val="00FE725F"/>
  </w:rsids>
  <m:mathPr>
    <m:mathFont m:val="Cambria Math"/>
    <m:brkBin m:val="before"/>
    <m:brkBinSub m:val="--"/>
    <m:smallFrac m:val="0"/>
    <m:dispDef/>
    <m:lMargin m:val="0"/>
    <m:rMargin m:val="0"/>
    <m:defJc m:val="centerGroup"/>
    <m:wrapIndent m:val="1440"/>
    <m:intLim m:val="subSup"/>
    <m:naryLim m:val="undOvr"/>
  </m:mathPr>
  <w:themeFontLang w:val="en-GB"/>
  <w:clrSchemeMapping w:accent1="accent1" w:accent2="accent2" w:accent3="accent3" w:accent4="accent4" w:accent5="accent5" w:accent6="accent6" w:bg1="light1" w:bg2="light2" w:followedHyperlink="followedHyperlink" w:hyperlink="hyperlink" w:t1="dark1" w:t2="dark2"/>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Times New Roman" w:eastAsia="Calibri" w:hAnsi="Calibri"/>
        <w:lang w:bidi="ar-SA" w:eastAsia="en-GB" w:val="en-GB"/>
      </w:rPr>
    </w:rPrDefault>
    <w:pPrDefault/>
  </w:docDefaults>
  <w:latentStyles w:count="371"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Normal" w:type="paragraph">
    <w:name w:val="Normal"/>
    <w:qFormat/>
    <w:pPr>
      <w:spacing w:after="200" w:line="276" w:lineRule="auto"/>
    </w:pPr>
    <w:rPr>
      <w:sz w:val="22"/>
      <w:szCs w:val="22"/>
      <w:lang w:eastAsia="en-US"/>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TableGrid" w:type="table">
    <w:name w:val="TableGrid"/>
    <w:rsid w:val="002B2CF2"/>
    <w:rPr>
      <w:rFonts w:asciiTheme="minorHAnsi" w:cstheme="minorBidi" w:eastAsiaTheme="minorEastAsia" w:hAnsiTheme="minorHAnsi"/>
      <w:sz w:val="22"/>
      <w:szCs w:val="22"/>
      <w:lang w:eastAsia="en-US" w:val="en-US"/>
    </w:rPr>
    <w:tblPr>
      <w:tblCellMar>
        <w:top w:type="dxa" w:w="0"/>
        <w:left w:type="dxa" w:w="0"/>
        <w:bottom w:type="dxa" w:w="0"/>
        <w:right w:type="dxa" w:w="0"/>
      </w:tblCellMar>
    </w:tblPr>
  </w:style>
  <w:style w:styleId="BalloonText" w:type="paragraph">
    <w:name w:val="Balloon Text"/>
    <w:basedOn w:val="Normal"/>
    <w:link w:val="BalloonTextChar"/>
    <w:uiPriority w:val="99"/>
    <w:semiHidden/>
    <w:unhideWhenUsed/>
    <w:rsid w:val="002B2CF2"/>
    <w:pPr>
      <w:spacing w:after="0" w:line="240" w:lineRule="auto"/>
    </w:pPr>
    <w:rPr>
      <w:rFonts w:ascii="Tahoma" w:cs="Tahoma" w:hAnsi="Tahoma"/>
      <w:sz w:val="16"/>
      <w:szCs w:val="16"/>
    </w:rPr>
  </w:style>
  <w:style w:customStyle="1" w:styleId="BalloonTextChar" w:type="character">
    <w:name w:val="Balloon Text Char"/>
    <w:basedOn w:val="DefaultParagraphFont"/>
    <w:link w:val="BalloonText"/>
    <w:uiPriority w:val="99"/>
    <w:semiHidden/>
    <w:rsid w:val="002B2CF2"/>
    <w:rPr>
      <w:rFonts w:ascii="Tahoma" w:cs="Tahoma" w:hAnsi="Tahoma"/>
      <w:sz w:val="16"/>
      <w:szCs w:val="16"/>
      <w:lang w:eastAsia="en-US"/>
    </w:rPr>
  </w:style>
  <w:style w:styleId="CommentReference" w:type="character">
    <w:name w:val="annotation reference"/>
    <w:basedOn w:val="DefaultParagraphFont"/>
    <w:uiPriority w:val="99"/>
    <w:semiHidden/>
    <w:unhideWhenUsed/>
    <w:rsid w:val="009E5213"/>
    <w:rPr>
      <w:sz w:val="16"/>
      <w:szCs w:val="16"/>
    </w:rPr>
  </w:style>
  <w:style w:styleId="ListParagraph" w:type="paragraph">
    <w:name w:val="List Paragraph"/>
    <w:basedOn w:val="Normal"/>
    <w:uiPriority w:val="34"/>
    <w:qFormat/>
    <w:rsid w:val="000C4B70"/>
    <w:pPr>
      <w:spacing w:after="160" w:line="259" w:lineRule="auto"/>
      <w:ind w:left="720"/>
      <w:contextualSpacing/>
    </w:pPr>
    <w:rPr>
      <w:rFonts w:cs="Calibri"/>
      <w:color w:val="000000"/>
      <w:lang w:val="en-US"/>
    </w:rPr>
  </w:style>
  <w:style w:styleId="Footer" w:type="paragraph">
    <w:name w:val="footer"/>
    <w:basedOn w:val="Normal"/>
    <w:link w:val="FooterChar"/>
    <w:uiPriority w:val="99"/>
    <w:unhideWhenUsed/>
    <w:rsid w:val="00B96929"/>
    <w:pPr>
      <w:tabs>
        <w:tab w:pos="4536" w:val="center"/>
        <w:tab w:pos="9072" w:val="right"/>
      </w:tabs>
      <w:spacing w:after="0" w:line="240" w:lineRule="auto"/>
    </w:pPr>
    <w:rPr>
      <w:rFonts w:cs="Calibri"/>
      <w:color w:val="000000"/>
      <w:lang w:val="en-US"/>
    </w:rPr>
  </w:style>
  <w:style w:customStyle="1" w:styleId="FooterChar" w:type="character">
    <w:name w:val="Footer Char"/>
    <w:basedOn w:val="DefaultParagraphFont"/>
    <w:link w:val="Footer"/>
    <w:uiPriority w:val="99"/>
    <w:rsid w:val="00B96929"/>
    <w:rPr>
      <w:rFonts w:cs="Calibri"/>
      <w:color w:val="000000"/>
      <w:sz w:val="22"/>
      <w:szCs w:val="22"/>
      <w:lang w:eastAsia="en-US" w:val="en-US"/>
    </w:rPr>
  </w:style>
  <w:style w:styleId="Header" w:type="paragraph">
    <w:name w:val="header"/>
    <w:basedOn w:val="Normal"/>
    <w:link w:val="HeaderChar"/>
    <w:uiPriority w:val="99"/>
    <w:unhideWhenUsed/>
    <w:rsid w:val="005E6BC3"/>
    <w:pPr>
      <w:tabs>
        <w:tab w:pos="4513" w:val="center"/>
        <w:tab w:pos="9026" w:val="right"/>
      </w:tabs>
      <w:spacing w:after="0" w:line="240" w:lineRule="auto"/>
    </w:pPr>
  </w:style>
  <w:style w:customStyle="1" w:styleId="HeaderChar" w:type="character">
    <w:name w:val="Header Char"/>
    <w:basedOn w:val="DefaultParagraphFont"/>
    <w:link w:val="Header"/>
    <w:uiPriority w:val="99"/>
    <w:rsid w:val="005E6BC3"/>
    <w:rPr>
      <w:sz w:val="22"/>
      <w:szCs w:val="22"/>
      <w:lang w:eastAsia="en-US"/>
    </w:rPr>
  </w:style>
  <w:style w:styleId="Hyperlink" w:type="character">
    <w:name w:val="Hyperlink"/>
    <w:basedOn w:val="DefaultParagraphFont"/>
    <w:uiPriority w:val="99"/>
    <w:unhideWhenUsed/>
    <w:rsid w:val="00597532"/>
    <w:rPr>
      <w:color w:themeColor="hyperlink" w:val="0000FF"/>
      <w:u w:val="single"/>
    </w:rPr>
  </w:style>
  <w:style w:styleId="TableGrid0" w:type="table">
    <w:name w:val="Table Grid"/>
    <w:basedOn w:val="TableNormal"/>
    <w:uiPriority w:val="59"/>
    <w:rsid w:val="00150FB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TMLPreformatted" w:type="paragraph">
    <w:name w:val="HTML Preformatted"/>
    <w:basedOn w:val="Normal"/>
    <w:link w:val="HTMLPreformattedChar"/>
    <w:uiPriority w:val="99"/>
    <w:unhideWhenUsed/>
    <w:rsid w:val="00F60C89"/>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line="240" w:lineRule="auto"/>
    </w:pPr>
    <w:rPr>
      <w:rFonts w:ascii="Courier New" w:cs="Courier New" w:eastAsia="Times New Roman" w:hAnsi="Courier New"/>
      <w:sz w:val="20"/>
      <w:szCs w:val="20"/>
      <w:lang w:eastAsia="en-GB"/>
    </w:rPr>
  </w:style>
  <w:style w:customStyle="1" w:styleId="HTMLPreformattedChar" w:type="character">
    <w:name w:val="HTML Preformatted Char"/>
    <w:basedOn w:val="DefaultParagraphFont"/>
    <w:link w:val="HTMLPreformatted"/>
    <w:uiPriority w:val="99"/>
    <w:rsid w:val="00F60C89"/>
    <w:rPr>
      <w:rFonts w:ascii="Courier New" w:cs="Courier New" w:eastAsia="Times New Roman" w:hAnsi="Courier New"/>
    </w:rPr>
  </w:style>
  <w:style w:styleId="CommentText" w:type="paragraph">
    <w:name w:val="annotation text"/>
    <w:basedOn w:val="Normal"/>
    <w:link w:val="CommentTextChar"/>
    <w:uiPriority w:val="99"/>
    <w:semiHidden/>
    <w:unhideWhenUsed/>
    <w:rsid w:val="00462537"/>
    <w:pPr>
      <w:spacing w:line="240" w:lineRule="auto"/>
    </w:pPr>
    <w:rPr>
      <w:rFonts w:asciiTheme="minorHAnsi" w:cstheme="minorBidi" w:eastAsiaTheme="minorHAnsi" w:hAnsiTheme="minorHAnsi"/>
      <w:sz w:val="20"/>
      <w:szCs w:val="20"/>
    </w:rPr>
  </w:style>
  <w:style w:customStyle="1" w:styleId="CommentTextChar" w:type="character">
    <w:name w:val="Comment Text Char"/>
    <w:basedOn w:val="DefaultParagraphFont"/>
    <w:link w:val="CommentText"/>
    <w:uiPriority w:val="99"/>
    <w:semiHidden/>
    <w:rsid w:val="00462537"/>
    <w:rPr>
      <w:rFonts w:asciiTheme="minorHAnsi" w:cstheme="minorBidi" w:eastAsiaTheme="minorHAnsi" w:hAnsiTheme="minorHAnsi"/>
      <w:lang w:eastAsia="en-US"/>
    </w:rPr>
  </w:style>
  <w:style w:styleId="XDocReport_Heading_1" w:type="paragraph">
    <w:name w:val="heading 1"/>
    <w:uiPriority w:val="9"/>
    <w:rsid w:val="00285B63"/>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XDocReport_Heading_2" w:type="paragraph">
    <w:name w:val="heading 2"/>
    <!-- <w:basedOn w:val="Normal" /> <w:next w:val="Normal" /> <w:link w:val="Titre2Car" /> -->
    <w:uiPriority w:val="9"/>
    <w:unhideWhenUsed/>
    <w:rsid w:val="00285B63"/>
    <w:pPr>
      <w:keepNext/>
      <w:keepLines/>
      <w:spacing w:after="0" w:before="200"/>
      <w:outlineLvl w:val="1"/>
    </w:pPr>
    <w:rPr>
      <w:rFonts w:asciiTheme="majorHAnsi" w:cstheme="majorBidi" w:eastAsiaTheme="majorEastAsia" w:hAnsiTheme="majorHAnsi"/>
      <w:b/>
      <w:bCs/>
      <w:color w:themeColor="accent1" w:val="4F81BD"/>
      <w:sz w:val="26"/>
      <w:szCs w:val="26"/>
    </w:rPr>
  </w:style>
  <w:style w:styleId="XDocReport_Heading_3" w:type="paragraph">
    <w:name w:val="heading 3"/>
    <!-- <w:basedOn w:val="Normal" /> <w:next w:val="Normal" /> <w:link w:val="Titre3Car"   /> -->
    <w:uiPriority w:val="9"/>
    <w:unhideWhenUsed/>
    <w:rsid w:val="00285B63"/>
    <w:pPr>
      <w:keepNext/>
      <w:keepLines/>
      <w:spacing w:after="0" w:before="200"/>
      <w:outlineLvl w:val="2"/>
    </w:pPr>
    <w:rPr>
      <w:rFonts w:asciiTheme="majorHAnsi" w:cstheme="majorBidi" w:eastAsiaTheme="majorEastAsia" w:hAnsiTheme="majorHAnsi"/>
      <w:b/>
      <w:bCs/>
      <w:color w:themeColor="accent1" w:val="4F81BD"/>
    </w:rPr>
  </w:style>
  <w:style w:styleId="XDocReport_Heading_4" w:type="paragraph">
    <w:name w:val="heading 4"/>
    <!-- <w:basedOn w:val="Normal" /> <w:next w:val="Normal" /> <w:link w:val="Titre4Car" /> -->
    <w:uiPriority w:val="9"/>
    <w:unhideWhenUsed/>
    <w:qFormat/>
    <w:rsid w:val="005F433E"/>
    <w:pPr>
      <w:keepNext/>
      <w:keepLines/>
      <w:spacing w:after="0" w:before="200"/>
      <w:outlineLvl w:val="3"/>
    </w:pPr>
    <w:rPr>
      <w:rFonts w:asciiTheme="majorHAnsi" w:cstheme="majorBidi" w:eastAsiaTheme="majorEastAsia" w:hAnsiTheme="majorHAnsi"/>
      <w:b/>
      <w:bCs/>
      <w:i/>
      <w:iCs/>
      <w:color w:themeColor="accent1" w:val="4F81BD"/>
    </w:rPr>
  </w:style>
  <w:style w:styleId="XDocReport_Heading_5" w:type="paragraph">
    <w:name w:val="heading 5"/>
    <!-- <w:basedOn w:val="Normal" /> <w:next w:val="Normal" /> <w:link w:val="Titre5Car"   /> -->
    <w:uiPriority w:val="9"/>
    <w:unhideWhenUsed/>
    <w:qFormat/>
    <w:rsid w:val="005F433E"/>
    <w:pPr>
      <w:keepNext/>
      <w:keepLines/>
      <w:spacing w:after="0" w:before="200"/>
      <w:outlineLvl w:val="4"/>
    </w:pPr>
    <w:rPr>
      <w:rFonts w:asciiTheme="majorHAnsi" w:cstheme="majorBidi" w:eastAsiaTheme="majorEastAsia" w:hAnsiTheme="majorHAnsi"/>
      <w:color w:themeColor="accent1" w:themeShade="7F" w:val="243F60"/>
    </w:rPr>
  </w:style>
  <w:style w:styleId="XDocReport_Heading_6" w:type="paragraph">
    <w:name w:val="heading 6"/>
    <!-- <w:basedOn w:val="Normal" /> <w:next w:val="Normal" /> <w:link w:val="Titre6Car" /> -->
    <w:uiPriority w:val="9"/>
    <w:unhideWhenUsed/>
    <w:qFormat/>
    <w:rsid w:val="005F433E"/>
    <w:pPr>
      <w:keepNext/>
      <w:keepLines/>
      <w:spacing w:after="0" w:before="200"/>
      <w:outlineLvl w:val="5"/>
    </w:pPr>
    <w:rPr>
      <w:rFonts w:asciiTheme="majorHAnsi" w:cstheme="majorBidi" w:eastAsiaTheme="majorEastAsia" w:hAnsiTheme="majorHAnsi"/>
      <w:i/>
      <w:iCs/>
      <w:color w:themeColor="accent1" w:themeShade="7F" w:val="243F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59595">
      <w:bodyDiv w:val="1"/>
      <w:marLeft w:val="0"/>
      <w:marRight w:val="0"/>
      <w:marTop w:val="0"/>
      <w:marBottom w:val="0"/>
      <w:divBdr>
        <w:top w:val="none" w:sz="0" w:space="0" w:color="auto"/>
        <w:left w:val="none" w:sz="0" w:space="0" w:color="auto"/>
        <w:bottom w:val="none" w:sz="0" w:space="0" w:color="auto"/>
        <w:right w:val="none" w:sz="0" w:space="0" w:color="auto"/>
      </w:divBdr>
    </w:div>
    <w:div w:id="375928939">
      <w:bodyDiv w:val="1"/>
      <w:marLeft w:val="0"/>
      <w:marRight w:val="0"/>
      <w:marTop w:val="0"/>
      <w:marBottom w:val="0"/>
      <w:divBdr>
        <w:top w:val="none" w:sz="0" w:space="0" w:color="auto"/>
        <w:left w:val="none" w:sz="0" w:space="0" w:color="auto"/>
        <w:bottom w:val="none" w:sz="0" w:space="0" w:color="auto"/>
        <w:right w:val="none" w:sz="0" w:space="0" w:color="auto"/>
      </w:divBdr>
    </w:div>
    <w:div w:id="1194727163">
      <w:bodyDiv w:val="1"/>
      <w:marLeft w:val="0"/>
      <w:marRight w:val="0"/>
      <w:marTop w:val="0"/>
      <w:marBottom w:val="0"/>
      <w:divBdr>
        <w:top w:val="none" w:sz="0" w:space="0" w:color="auto"/>
        <w:left w:val="none" w:sz="0" w:space="0" w:color="auto"/>
        <w:bottom w:val="none" w:sz="0" w:space="0" w:color="auto"/>
        <w:right w:val="none" w:sz="0" w:space="0" w:color="auto"/>
      </w:divBdr>
    </w:div>
    <w:div w:id="1843010255">
      <w:bodyDiv w:val="1"/>
      <w:marLeft w:val="0"/>
      <w:marRight w:val="0"/>
      <w:marTop w:val="0"/>
      <w:marBottom w:val="0"/>
      <w:divBdr>
        <w:top w:val="none" w:sz="0" w:space="0" w:color="auto"/>
        <w:left w:val="none" w:sz="0" w:space="0" w:color="auto"/>
        <w:bottom w:val="none" w:sz="0" w:space="0" w:color="auto"/>
        <w:right w:val="none" w:sz="0" w:space="0" w:color="auto"/>
      </w:divBdr>
    </w:div>
    <w:div w:id="1849053516">
      <w:bodyDiv w:val="1"/>
      <w:marLeft w:val="0"/>
      <w:marRight w:val="0"/>
      <w:marTop w:val="0"/>
      <w:marBottom w:val="0"/>
      <w:divBdr>
        <w:top w:val="none" w:sz="0" w:space="0" w:color="auto"/>
        <w:left w:val="none" w:sz="0" w:space="0" w:color="auto"/>
        <w:bottom w:val="none" w:sz="0" w:space="0" w:color="auto"/>
        <w:right w:val="none" w:sz="0" w:space="0" w:color="auto"/>
      </w:divBdr>
    </w:div>
    <w:div w:id="188405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gif"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2CFBB-EF4E-4D47-8958-E944E7DA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1739</Words>
  <Characters>13187</Characters>
  <Application>Microsoft Office Word</Application>
  <DocSecurity>0</DocSecurity>
  <Lines>599</Lines>
  <Paragraphs>298</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2016-01-05T16:51:00Z</dcterms:created>
  <dcterms:modified xsi:type="dcterms:W3CDTF">2021-04-19T12:16:00Z</dcterms:modified>
  <cp:revision>1</cp:revision>
</cp:coreProperties>
</file>