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29E" w:rsidRPr="000B429E" w:rsidRDefault="000B429E" w:rsidP="000B429E">
      <w:pPr>
        <w:ind w:firstLine="709"/>
        <w:jc w:val="both"/>
        <w:outlineLvl w:val="2"/>
        <w:rPr>
          <w:rFonts w:ascii="Arial" w:hAnsi="Arial" w:cs="Arial"/>
          <w:sz w:val="22"/>
          <w:szCs w:val="22"/>
          <w:u w:val="single"/>
          <w:lang w:val="en-GB"/>
        </w:rPr>
      </w:pPr>
      <w:bookmarkStart w:id="0" w:name="_Toc70495731"/>
      <w:bookmarkStart w:id="1" w:name="_Toc70496699"/>
      <w:bookmarkStart w:id="2" w:name="_Toc90637448"/>
      <w:bookmarkStart w:id="3" w:name="_Toc90649444"/>
      <w:r w:rsidRPr="000B429E">
        <w:rPr>
          <w:rFonts w:ascii="Arial" w:hAnsi="Arial" w:cs="Arial"/>
          <w:sz w:val="22"/>
          <w:szCs w:val="22"/>
          <w:u w:val="single"/>
          <w:lang w:val="en-GB"/>
        </w:rPr>
        <w:t>Locations for ticketing services</w:t>
      </w:r>
      <w:bookmarkEnd w:id="0"/>
      <w:bookmarkEnd w:id="1"/>
      <w:bookmarkEnd w:id="2"/>
      <w:bookmarkEnd w:id="3"/>
    </w:p>
    <w:p w:rsidR="000B429E" w:rsidRPr="000B429E" w:rsidRDefault="000B429E" w:rsidP="000B429E">
      <w:pPr>
        <w:jc w:val="both"/>
        <w:outlineLvl w:val="2"/>
        <w:rPr>
          <w:rFonts w:ascii="Arial" w:hAnsi="Arial" w:cs="Arial"/>
          <w:sz w:val="22"/>
          <w:szCs w:val="22"/>
          <w:u w:val="single"/>
          <w:lang w:val="en-GB"/>
        </w:rPr>
      </w:pPr>
    </w:p>
    <w:p w:rsidR="000B429E" w:rsidRPr="000B429E" w:rsidRDefault="000B429E" w:rsidP="000B429E">
      <w:pPr>
        <w:jc w:val="both"/>
        <w:rPr>
          <w:rStyle w:val="tlid-translation"/>
          <w:rFonts w:ascii="Arial" w:hAnsi="Arial" w:cs="Arial"/>
          <w:sz w:val="22"/>
          <w:szCs w:val="22"/>
          <w:lang w:val="en-GB"/>
        </w:rPr>
      </w:pPr>
      <w:bookmarkStart w:id="4" w:name="_Toc532905085"/>
      <w:bookmarkStart w:id="5" w:name="_Toc22762707"/>
      <w:bookmarkStart w:id="6" w:name="_Toc23061886"/>
      <w:r w:rsidRPr="000B429E">
        <w:rPr>
          <w:rStyle w:val="tlid-translation"/>
          <w:rFonts w:ascii="Arial" w:hAnsi="Arial" w:cs="Arial"/>
          <w:sz w:val="22"/>
          <w:szCs w:val="22"/>
          <w:lang w:val="en-GB"/>
        </w:rPr>
        <w:t xml:space="preserve">For the provision of access to locations for ticketing services, the provision of suitable non-residential premises for the purposes of selling and dispatching tickets during the validity of a single timetable </w:t>
      </w:r>
      <w:bookmarkStart w:id="7" w:name="_GoBack"/>
      <w:bookmarkEnd w:id="7"/>
      <w:proofErr w:type="gramStart"/>
      <w:r w:rsidRPr="000B429E">
        <w:rPr>
          <w:rStyle w:val="tlid-translation"/>
          <w:rFonts w:ascii="Arial" w:hAnsi="Arial" w:cs="Arial"/>
          <w:sz w:val="22"/>
          <w:szCs w:val="22"/>
          <w:lang w:val="en-GB"/>
        </w:rPr>
        <w:t>is considered</w:t>
      </w:r>
      <w:proofErr w:type="gramEnd"/>
      <w:r w:rsidRPr="000B429E">
        <w:rPr>
          <w:rStyle w:val="tlid-translation"/>
          <w:rFonts w:ascii="Arial" w:hAnsi="Arial" w:cs="Arial"/>
          <w:sz w:val="22"/>
          <w:szCs w:val="22"/>
          <w:lang w:val="en-GB"/>
        </w:rPr>
        <w:t xml:space="preserve"> to be:</w:t>
      </w:r>
    </w:p>
    <w:p w:rsidR="000B429E" w:rsidRPr="000B429E" w:rsidRDefault="000B429E" w:rsidP="000B429E">
      <w:pPr>
        <w:numPr>
          <w:ilvl w:val="0"/>
          <w:numId w:val="5"/>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 xml:space="preserve">provision of non-public, non-residential premises - separate rooms in passenger stations specially allocated to the Railway Undertaking for the purpose of sale with standard technical availability of utilities (electricity, heat) - so-called "brick-and-mortar ticket offices”. Air conditioning is not considered </w:t>
      </w:r>
      <w:proofErr w:type="gramStart"/>
      <w:r w:rsidRPr="000B429E">
        <w:rPr>
          <w:rStyle w:val="tlid-translation"/>
          <w:rFonts w:ascii="Arial" w:hAnsi="Arial" w:cs="Arial"/>
          <w:sz w:val="22"/>
          <w:szCs w:val="22"/>
          <w:lang w:val="en-GB"/>
        </w:rPr>
        <w:t>to be standard</w:t>
      </w:r>
      <w:proofErr w:type="gramEnd"/>
      <w:r w:rsidRPr="000B429E">
        <w:rPr>
          <w:rStyle w:val="tlid-translation"/>
          <w:rFonts w:ascii="Arial" w:hAnsi="Arial" w:cs="Arial"/>
          <w:sz w:val="22"/>
          <w:szCs w:val="22"/>
          <w:lang w:val="en-GB"/>
        </w:rPr>
        <w:t>.</w:t>
      </w:r>
    </w:p>
    <w:p w:rsidR="000B429E" w:rsidRPr="000B429E" w:rsidRDefault="000B429E" w:rsidP="000B429E">
      <w:pPr>
        <w:numPr>
          <w:ilvl w:val="0"/>
          <w:numId w:val="5"/>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 xml:space="preserve">provision of a part of public areas in the lobby of passenger stations and other public places       in passenger stations for the location of self-service facilities - vending machines or kiosks, booths, etc. providing sales and issuing of tickets. The cost of placing and operating </w:t>
      </w:r>
      <w:proofErr w:type="gramStart"/>
      <w:r w:rsidRPr="000B429E">
        <w:rPr>
          <w:rStyle w:val="tlid-translation"/>
          <w:rFonts w:ascii="Arial" w:hAnsi="Arial" w:cs="Arial"/>
          <w:sz w:val="22"/>
          <w:szCs w:val="22"/>
          <w:lang w:val="en-GB"/>
        </w:rPr>
        <w:t>such  a</w:t>
      </w:r>
      <w:proofErr w:type="gramEnd"/>
      <w:r w:rsidRPr="000B429E">
        <w:rPr>
          <w:rStyle w:val="tlid-translation"/>
          <w:rFonts w:ascii="Arial" w:hAnsi="Arial" w:cs="Arial"/>
          <w:sz w:val="22"/>
          <w:szCs w:val="22"/>
          <w:lang w:val="en-GB"/>
        </w:rPr>
        <w:t xml:space="preserve"> facility is determined by the area of ​​the user area beneath the facility.</w:t>
      </w:r>
    </w:p>
    <w:p w:rsidR="000B429E" w:rsidRPr="000B429E" w:rsidRDefault="000B429E" w:rsidP="000B429E">
      <w:pPr>
        <w:jc w:val="both"/>
        <w:rPr>
          <w:rStyle w:val="tlid-translation"/>
          <w:rFonts w:ascii="Arial" w:hAnsi="Arial" w:cs="Arial"/>
          <w:sz w:val="22"/>
          <w:szCs w:val="22"/>
          <w:lang w:val="en-GB"/>
        </w:rPr>
      </w:pPr>
      <w:r w:rsidRPr="000B429E">
        <w:rPr>
          <w:rFonts w:ascii="Arial" w:hAnsi="Arial" w:cs="Arial"/>
          <w:sz w:val="22"/>
          <w:szCs w:val="22"/>
          <w:lang w:val="en-GB"/>
        </w:rPr>
        <w:br/>
      </w:r>
      <w:r w:rsidRPr="000B429E">
        <w:rPr>
          <w:rStyle w:val="tlid-translation"/>
          <w:rFonts w:ascii="Arial" w:hAnsi="Arial" w:cs="Arial"/>
          <w:sz w:val="22"/>
          <w:szCs w:val="22"/>
          <w:lang w:val="en-GB"/>
        </w:rPr>
        <w:t xml:space="preserve">The provided non-residential premises for customer centres </w:t>
      </w:r>
      <w:proofErr w:type="gramStart"/>
      <w:r w:rsidRPr="000B429E">
        <w:rPr>
          <w:rStyle w:val="tlid-translation"/>
          <w:rFonts w:ascii="Arial" w:hAnsi="Arial" w:cs="Arial"/>
          <w:sz w:val="22"/>
          <w:szCs w:val="22"/>
          <w:lang w:val="en-GB"/>
        </w:rPr>
        <w:t>are not considered</w:t>
      </w:r>
      <w:proofErr w:type="gramEnd"/>
      <w:r w:rsidRPr="000B429E">
        <w:rPr>
          <w:rStyle w:val="tlid-translation"/>
          <w:rFonts w:ascii="Arial" w:hAnsi="Arial" w:cs="Arial"/>
          <w:sz w:val="22"/>
          <w:szCs w:val="22"/>
          <w:lang w:val="en-GB"/>
        </w:rPr>
        <w:t xml:space="preserve"> as locations for ticketing services.</w:t>
      </w:r>
    </w:p>
    <w:p w:rsidR="000B429E" w:rsidRPr="000B429E" w:rsidRDefault="000B429E" w:rsidP="000B429E">
      <w:pPr>
        <w:rPr>
          <w:rFonts w:ascii="Arial" w:hAnsi="Arial" w:cs="Arial"/>
          <w:sz w:val="22"/>
          <w:szCs w:val="22"/>
          <w:u w:val="single"/>
          <w:lang w:val="en-GB"/>
        </w:rPr>
      </w:pPr>
      <w:r w:rsidRPr="000B429E">
        <w:rPr>
          <w:rFonts w:ascii="Arial" w:hAnsi="Arial" w:cs="Arial"/>
          <w:sz w:val="22"/>
          <w:szCs w:val="22"/>
          <w:lang w:val="en-GB"/>
        </w:rPr>
        <w:br/>
      </w:r>
      <w:r w:rsidRPr="000B429E">
        <w:rPr>
          <w:rStyle w:val="tlid-translation"/>
          <w:rFonts w:ascii="Arial" w:hAnsi="Arial" w:cs="Arial"/>
          <w:sz w:val="22"/>
          <w:szCs w:val="22"/>
          <w:lang w:val="en-GB"/>
        </w:rPr>
        <w:t xml:space="preserve">The list of traffic points for </w:t>
      </w:r>
      <w:proofErr w:type="spellStart"/>
      <w:r w:rsidRPr="000B429E">
        <w:rPr>
          <w:rStyle w:val="tlid-translation"/>
          <w:rFonts w:ascii="Arial" w:hAnsi="Arial" w:cs="Arial"/>
          <w:sz w:val="22"/>
          <w:szCs w:val="22"/>
          <w:lang w:val="en-GB"/>
        </w:rPr>
        <w:t>for</w:t>
      </w:r>
      <w:proofErr w:type="spellEnd"/>
      <w:r w:rsidRPr="000B429E">
        <w:rPr>
          <w:rStyle w:val="tlid-translation"/>
          <w:rFonts w:ascii="Arial" w:hAnsi="Arial" w:cs="Arial"/>
          <w:sz w:val="22"/>
          <w:szCs w:val="22"/>
          <w:lang w:val="en-GB"/>
        </w:rPr>
        <w:t xml:space="preserve"> ticketing services </w:t>
      </w:r>
      <w:proofErr w:type="gramStart"/>
      <w:r w:rsidRPr="000B429E">
        <w:rPr>
          <w:rStyle w:val="tlid-translation"/>
          <w:rFonts w:ascii="Arial" w:hAnsi="Arial" w:cs="Arial"/>
          <w:sz w:val="22"/>
          <w:szCs w:val="22"/>
          <w:lang w:val="en-GB"/>
        </w:rPr>
        <w:t>is presented</w:t>
      </w:r>
      <w:proofErr w:type="gramEnd"/>
      <w:r w:rsidRPr="000B429E">
        <w:rPr>
          <w:rStyle w:val="tlid-translation"/>
          <w:rFonts w:ascii="Arial" w:hAnsi="Arial" w:cs="Arial"/>
          <w:sz w:val="22"/>
          <w:szCs w:val="22"/>
          <w:lang w:val="en-GB"/>
        </w:rPr>
        <w:t xml:space="preserve"> in </w:t>
      </w:r>
      <w:r w:rsidRPr="000B429E">
        <w:rPr>
          <w:rStyle w:val="tlid-translation"/>
          <w:rFonts w:ascii="Arial" w:hAnsi="Arial" w:cs="Arial"/>
          <w:sz w:val="22"/>
          <w:szCs w:val="22"/>
          <w:u w:val="single"/>
          <w:lang w:val="en-GB"/>
        </w:rPr>
        <w:t xml:space="preserve">Annex </w:t>
      </w:r>
      <w:bookmarkEnd w:id="4"/>
      <w:bookmarkEnd w:id="5"/>
      <w:bookmarkEnd w:id="6"/>
      <w:r>
        <w:rPr>
          <w:rStyle w:val="tlid-translation"/>
          <w:rFonts w:ascii="Arial" w:hAnsi="Arial" w:cs="Arial"/>
          <w:sz w:val="22"/>
          <w:szCs w:val="22"/>
          <w:u w:val="single"/>
          <w:lang w:val="en-GB"/>
        </w:rPr>
        <w:t>1</w:t>
      </w:r>
      <w:r w:rsidRPr="000B429E">
        <w:rPr>
          <w:rStyle w:val="tlid-translation"/>
          <w:rFonts w:ascii="Arial" w:hAnsi="Arial" w:cs="Arial"/>
          <w:sz w:val="22"/>
          <w:szCs w:val="22"/>
          <w:u w:val="single"/>
          <w:lang w:val="en-GB"/>
        </w:rPr>
        <w:t>.</w:t>
      </w:r>
    </w:p>
    <w:p w:rsidR="000B429E" w:rsidRPr="000B429E" w:rsidRDefault="000B429E" w:rsidP="000B429E">
      <w:pPr>
        <w:rPr>
          <w:rFonts w:ascii="Arial" w:hAnsi="Arial" w:cs="Arial"/>
          <w:sz w:val="22"/>
          <w:szCs w:val="22"/>
          <w:lang w:val="en-GB"/>
        </w:rPr>
      </w:pPr>
    </w:p>
    <w:p w:rsidR="000B429E" w:rsidRPr="000B429E" w:rsidRDefault="000B429E" w:rsidP="000B429E">
      <w:pPr>
        <w:autoSpaceDE w:val="0"/>
        <w:autoSpaceDN w:val="0"/>
        <w:adjustRightInd w:val="0"/>
        <w:ind w:left="426"/>
        <w:jc w:val="both"/>
        <w:rPr>
          <w:rStyle w:val="longtext"/>
          <w:rFonts w:ascii="Arial" w:hAnsi="Arial" w:cs="Arial"/>
          <w:sz w:val="22"/>
          <w:szCs w:val="22"/>
          <w:u w:val="single"/>
          <w:lang w:val="en-GB"/>
        </w:rPr>
      </w:pPr>
      <w:r w:rsidRPr="000B429E">
        <w:rPr>
          <w:rStyle w:val="longtext"/>
          <w:rFonts w:ascii="Arial" w:hAnsi="Arial" w:cs="Arial"/>
          <w:bCs/>
          <w:sz w:val="22"/>
          <w:szCs w:val="22"/>
          <w:u w:val="single"/>
          <w:lang w:val="en-GB"/>
        </w:rPr>
        <w:t xml:space="preserve">Maximum charge for the access to location for ticketing services in passenger stations </w:t>
      </w:r>
      <w:r w:rsidRPr="000B429E">
        <w:rPr>
          <w:rFonts w:ascii="Arial" w:hAnsi="Arial" w:cs="Arial"/>
          <w:bCs/>
          <w:sz w:val="22"/>
          <w:szCs w:val="22"/>
          <w:u w:val="single"/>
          <w:lang w:val="en-GB"/>
        </w:rPr>
        <w:t>U</w:t>
      </w:r>
      <w:r w:rsidRPr="000B429E">
        <w:rPr>
          <w:rFonts w:ascii="Arial" w:hAnsi="Arial" w:cs="Arial"/>
          <w:bCs/>
          <w:sz w:val="22"/>
          <w:szCs w:val="22"/>
          <w:u w:val="single"/>
          <w:vertAlign w:val="subscript"/>
          <w:lang w:val="en-GB"/>
        </w:rPr>
        <w:t>SZ2</w:t>
      </w:r>
    </w:p>
    <w:p w:rsidR="000B429E" w:rsidRPr="000B429E" w:rsidRDefault="000B429E" w:rsidP="000B429E">
      <w:pPr>
        <w:autoSpaceDE w:val="0"/>
        <w:autoSpaceDN w:val="0"/>
        <w:adjustRightInd w:val="0"/>
        <w:ind w:left="567"/>
        <w:jc w:val="both"/>
        <w:rPr>
          <w:rStyle w:val="longtext"/>
          <w:rFonts w:ascii="Arial" w:hAnsi="Arial" w:cs="Arial"/>
          <w:b/>
          <w:sz w:val="22"/>
          <w:szCs w:val="22"/>
          <w:lang w:val="en-GB"/>
        </w:rPr>
      </w:pPr>
    </w:p>
    <w:p w:rsidR="000B429E" w:rsidRPr="000B429E" w:rsidRDefault="000B429E" w:rsidP="000B429E">
      <w:pPr>
        <w:jc w:val="both"/>
        <w:rPr>
          <w:rFonts w:ascii="Arial" w:hAnsi="Arial" w:cs="Arial"/>
          <w:sz w:val="22"/>
          <w:szCs w:val="22"/>
          <w:lang w:val="en-GB"/>
        </w:rPr>
      </w:pPr>
      <w:r w:rsidRPr="000B429E">
        <w:rPr>
          <w:rFonts w:ascii="Arial" w:hAnsi="Arial" w:cs="Arial"/>
          <w:sz w:val="22"/>
          <w:szCs w:val="22"/>
          <w:lang w:val="en-GB"/>
        </w:rPr>
        <w:t>Payment Usz</w:t>
      </w:r>
      <w:r w:rsidRPr="000B429E">
        <w:rPr>
          <w:rFonts w:ascii="Arial" w:hAnsi="Arial" w:cs="Arial"/>
          <w:sz w:val="22"/>
          <w:szCs w:val="22"/>
          <w:vertAlign w:val="subscript"/>
          <w:lang w:val="en-GB"/>
        </w:rPr>
        <w:t>2</w:t>
      </w:r>
      <w:r w:rsidRPr="000B429E">
        <w:rPr>
          <w:rFonts w:ascii="Arial" w:hAnsi="Arial" w:cs="Arial"/>
          <w:sz w:val="22"/>
          <w:szCs w:val="22"/>
          <w:lang w:val="en-GB"/>
        </w:rPr>
        <w:t xml:space="preserve"> for the sale of transport documents sale at passenger </w:t>
      </w:r>
      <w:proofErr w:type="gramStart"/>
      <w:r w:rsidRPr="000B429E">
        <w:rPr>
          <w:rFonts w:ascii="Arial" w:hAnsi="Arial" w:cs="Arial"/>
          <w:sz w:val="22"/>
          <w:szCs w:val="22"/>
          <w:lang w:val="en-GB"/>
        </w:rPr>
        <w:t>transport  stations</w:t>
      </w:r>
      <w:proofErr w:type="gramEnd"/>
      <w:r w:rsidRPr="000B429E">
        <w:rPr>
          <w:rFonts w:ascii="Arial" w:hAnsi="Arial" w:cs="Arial"/>
          <w:sz w:val="22"/>
          <w:szCs w:val="22"/>
          <w:lang w:val="en-GB"/>
        </w:rPr>
        <w:t xml:space="preserve"> which are classified in (</w:t>
      </w:r>
      <w:proofErr w:type="spellStart"/>
      <w:r w:rsidRPr="000B429E">
        <w:rPr>
          <w:rFonts w:ascii="Arial" w:hAnsi="Arial" w:cs="Arial"/>
          <w:sz w:val="22"/>
          <w:szCs w:val="22"/>
          <w:lang w:val="en-GB"/>
        </w:rPr>
        <w:t>j</w:t>
      </w:r>
      <w:r w:rsidRPr="000B429E">
        <w:rPr>
          <w:rFonts w:ascii="Arial" w:hAnsi="Arial" w:cs="Arial"/>
          <w:sz w:val="22"/>
          <w:szCs w:val="22"/>
          <w:vertAlign w:val="subscript"/>
          <w:lang w:val="en-GB"/>
        </w:rPr>
        <w:t>pm</w:t>
      </w:r>
      <w:proofErr w:type="spellEnd"/>
      <w:r w:rsidRPr="000B429E">
        <w:rPr>
          <w:rFonts w:ascii="Arial" w:hAnsi="Arial" w:cs="Arial"/>
          <w:sz w:val="22"/>
          <w:szCs w:val="22"/>
          <w:lang w:val="en-GB"/>
        </w:rPr>
        <w:t xml:space="preserve">) that category of transport point </w:t>
      </w:r>
    </w:p>
    <w:p w:rsidR="000B429E" w:rsidRPr="000B429E" w:rsidRDefault="000B429E" w:rsidP="000B429E">
      <w:pPr>
        <w:jc w:val="both"/>
        <w:rPr>
          <w:rFonts w:ascii="Arial" w:hAnsi="Arial" w:cs="Arial"/>
          <w:sz w:val="22"/>
          <w:szCs w:val="22"/>
          <w:lang w:val="en-GB"/>
        </w:rPr>
      </w:pPr>
    </w:p>
    <w:tbl>
      <w:tblPr>
        <w:tblW w:w="0" w:type="auto"/>
        <w:tblInd w:w="2954" w:type="dxa"/>
        <w:tblLayout w:type="fixed"/>
        <w:tblCellMar>
          <w:left w:w="0" w:type="dxa"/>
          <w:right w:w="0" w:type="dxa"/>
        </w:tblCellMar>
        <w:tblLook w:val="04A0" w:firstRow="1" w:lastRow="0" w:firstColumn="1" w:lastColumn="0" w:noHBand="0" w:noVBand="1"/>
      </w:tblPr>
      <w:tblGrid>
        <w:gridCol w:w="1400"/>
        <w:gridCol w:w="2620"/>
      </w:tblGrid>
      <w:tr w:rsidR="000B429E" w:rsidRPr="000B429E" w:rsidTr="007415A0">
        <w:trPr>
          <w:trHeight w:val="270"/>
        </w:trPr>
        <w:tc>
          <w:tcPr>
            <w:tcW w:w="1400" w:type="dxa"/>
            <w:tcBorders>
              <w:top w:val="single" w:sz="8" w:space="0" w:color="auto"/>
              <w:left w:val="single" w:sz="8" w:space="0" w:color="auto"/>
              <w:right w:val="single" w:sz="8" w:space="0" w:color="auto"/>
            </w:tcBorders>
            <w:vAlign w:val="bottom"/>
          </w:tcPr>
          <w:p w:rsidR="000B429E" w:rsidRPr="000B429E" w:rsidRDefault="000B429E" w:rsidP="007415A0">
            <w:pPr>
              <w:spacing w:line="271" w:lineRule="exact"/>
              <w:jc w:val="center"/>
              <w:rPr>
                <w:rFonts w:ascii="Arial" w:hAnsi="Arial" w:cs="Arial"/>
                <w:sz w:val="22"/>
                <w:szCs w:val="22"/>
                <w:lang w:val="en-CA"/>
              </w:rPr>
            </w:pPr>
            <w:r w:rsidRPr="000B429E">
              <w:rPr>
                <w:rFonts w:ascii="Arial" w:hAnsi="Arial" w:cs="Arial"/>
                <w:w w:val="99"/>
                <w:sz w:val="22"/>
                <w:szCs w:val="22"/>
                <w:lang w:val="en-CA"/>
              </w:rPr>
              <w:t>Transport point category</w:t>
            </w:r>
          </w:p>
        </w:tc>
        <w:tc>
          <w:tcPr>
            <w:tcW w:w="2620" w:type="dxa"/>
            <w:tcBorders>
              <w:top w:val="single" w:sz="8" w:space="0" w:color="auto"/>
              <w:right w:val="single" w:sz="8" w:space="0" w:color="auto"/>
            </w:tcBorders>
            <w:vAlign w:val="bottom"/>
          </w:tcPr>
          <w:p w:rsidR="000B429E" w:rsidRPr="000B429E" w:rsidRDefault="000B429E" w:rsidP="007415A0">
            <w:pPr>
              <w:spacing w:line="271" w:lineRule="exact"/>
              <w:jc w:val="center"/>
              <w:rPr>
                <w:rFonts w:ascii="Arial" w:hAnsi="Arial" w:cs="Arial"/>
                <w:sz w:val="22"/>
                <w:szCs w:val="22"/>
                <w:lang w:val="en-CA"/>
              </w:rPr>
            </w:pPr>
            <w:r w:rsidRPr="000B429E">
              <w:rPr>
                <w:rFonts w:ascii="Arial" w:hAnsi="Arial" w:cs="Arial"/>
                <w:sz w:val="22"/>
                <w:szCs w:val="22"/>
                <w:lang w:val="en-CA"/>
              </w:rPr>
              <w:t>Usz2</w:t>
            </w:r>
          </w:p>
        </w:tc>
      </w:tr>
      <w:tr w:rsidR="000B429E" w:rsidRPr="000B429E" w:rsidTr="007415A0">
        <w:trPr>
          <w:trHeight w:val="296"/>
        </w:trPr>
        <w:tc>
          <w:tcPr>
            <w:tcW w:w="1400" w:type="dxa"/>
            <w:tcBorders>
              <w:left w:val="single" w:sz="8" w:space="0" w:color="auto"/>
              <w:right w:val="single" w:sz="8" w:space="0" w:color="auto"/>
            </w:tcBorders>
            <w:vAlign w:val="bottom"/>
          </w:tcPr>
          <w:p w:rsidR="000B429E" w:rsidRPr="000B429E" w:rsidRDefault="000B429E" w:rsidP="007415A0">
            <w:pPr>
              <w:rPr>
                <w:rFonts w:ascii="Arial" w:hAnsi="Arial" w:cs="Arial"/>
                <w:sz w:val="22"/>
                <w:szCs w:val="22"/>
                <w:lang w:val="en-CA"/>
              </w:rPr>
            </w:pPr>
          </w:p>
        </w:tc>
        <w:tc>
          <w:tcPr>
            <w:tcW w:w="2620" w:type="dxa"/>
            <w:tcBorders>
              <w:right w:val="single" w:sz="8" w:space="0" w:color="auto"/>
            </w:tcBorders>
            <w:vAlign w:val="bottom"/>
          </w:tcPr>
          <w:p w:rsidR="000B429E" w:rsidRPr="000B429E" w:rsidRDefault="000B429E" w:rsidP="007415A0">
            <w:pPr>
              <w:spacing w:line="296" w:lineRule="exact"/>
              <w:jc w:val="center"/>
              <w:rPr>
                <w:rFonts w:ascii="Arial" w:hAnsi="Arial" w:cs="Arial"/>
                <w:sz w:val="22"/>
                <w:szCs w:val="22"/>
                <w:lang w:val="en-CA"/>
              </w:rPr>
            </w:pPr>
            <w:r w:rsidRPr="000B429E">
              <w:rPr>
                <w:rFonts w:ascii="Arial" w:hAnsi="Arial" w:cs="Arial"/>
                <w:w w:val="99"/>
                <w:sz w:val="22"/>
                <w:szCs w:val="22"/>
                <w:lang w:val="en-CA"/>
              </w:rPr>
              <w:t>in euros per month and m</w:t>
            </w:r>
            <w:r w:rsidRPr="000B429E">
              <w:rPr>
                <w:rFonts w:ascii="Arial" w:hAnsi="Arial" w:cs="Arial"/>
                <w:w w:val="99"/>
                <w:sz w:val="22"/>
                <w:szCs w:val="22"/>
                <w:vertAlign w:val="superscript"/>
                <w:lang w:val="en-CA"/>
              </w:rPr>
              <w:t>2</w:t>
            </w:r>
          </w:p>
        </w:tc>
      </w:tr>
      <w:tr w:rsidR="000B429E" w:rsidRPr="000B429E" w:rsidTr="007415A0">
        <w:trPr>
          <w:trHeight w:val="264"/>
        </w:trPr>
        <w:tc>
          <w:tcPr>
            <w:tcW w:w="1400" w:type="dxa"/>
            <w:tcBorders>
              <w:left w:val="single" w:sz="8" w:space="0" w:color="auto"/>
              <w:right w:val="single" w:sz="8" w:space="0" w:color="auto"/>
            </w:tcBorders>
            <w:vAlign w:val="bottom"/>
          </w:tcPr>
          <w:p w:rsidR="000B429E" w:rsidRPr="000B429E" w:rsidRDefault="000B429E" w:rsidP="007415A0">
            <w:pPr>
              <w:spacing w:line="264" w:lineRule="exact"/>
              <w:rPr>
                <w:rFonts w:ascii="Arial" w:hAnsi="Arial" w:cs="Arial"/>
                <w:sz w:val="22"/>
                <w:szCs w:val="22"/>
                <w:lang w:val="en-CA"/>
              </w:rPr>
            </w:pPr>
          </w:p>
        </w:tc>
        <w:tc>
          <w:tcPr>
            <w:tcW w:w="2620" w:type="dxa"/>
            <w:tcBorders>
              <w:right w:val="single" w:sz="8" w:space="0" w:color="auto"/>
            </w:tcBorders>
            <w:vAlign w:val="bottom"/>
          </w:tcPr>
          <w:p w:rsidR="000B429E" w:rsidRPr="000B429E" w:rsidRDefault="000B429E" w:rsidP="007415A0">
            <w:pPr>
              <w:spacing w:line="264" w:lineRule="exact"/>
              <w:jc w:val="center"/>
              <w:rPr>
                <w:rFonts w:ascii="Arial" w:hAnsi="Arial" w:cs="Arial"/>
                <w:sz w:val="22"/>
                <w:szCs w:val="22"/>
                <w:lang w:val="en-CA"/>
              </w:rPr>
            </w:pPr>
            <w:r w:rsidRPr="000B429E">
              <w:rPr>
                <w:rFonts w:ascii="Arial" w:hAnsi="Arial" w:cs="Arial"/>
                <w:sz w:val="22"/>
                <w:szCs w:val="22"/>
                <w:lang w:val="en-CA"/>
              </w:rPr>
              <w:t xml:space="preserve">excluding value added tax </w:t>
            </w:r>
          </w:p>
        </w:tc>
      </w:tr>
      <w:tr w:rsidR="000B429E" w:rsidRPr="000B429E" w:rsidTr="007415A0">
        <w:trPr>
          <w:trHeight w:val="281"/>
        </w:trPr>
        <w:tc>
          <w:tcPr>
            <w:tcW w:w="1400" w:type="dxa"/>
            <w:tcBorders>
              <w:left w:val="single" w:sz="8" w:space="0" w:color="auto"/>
              <w:bottom w:val="single" w:sz="8" w:space="0" w:color="auto"/>
              <w:right w:val="single" w:sz="8" w:space="0" w:color="auto"/>
            </w:tcBorders>
            <w:vAlign w:val="bottom"/>
          </w:tcPr>
          <w:p w:rsidR="000B429E" w:rsidRPr="000B429E" w:rsidRDefault="000B429E" w:rsidP="007415A0">
            <w:pPr>
              <w:jc w:val="center"/>
              <w:rPr>
                <w:rFonts w:ascii="Arial" w:hAnsi="Arial" w:cs="Arial"/>
                <w:sz w:val="22"/>
                <w:szCs w:val="22"/>
                <w:lang w:val="en-CA"/>
              </w:rPr>
            </w:pPr>
            <w:r w:rsidRPr="000B429E">
              <w:rPr>
                <w:rFonts w:ascii="Arial" w:hAnsi="Arial" w:cs="Arial"/>
                <w:sz w:val="22"/>
                <w:szCs w:val="22"/>
                <w:lang w:val="en-CA"/>
              </w:rPr>
              <w:t>(</w:t>
            </w:r>
            <w:proofErr w:type="spellStart"/>
            <w:r w:rsidRPr="000B429E">
              <w:rPr>
                <w:rFonts w:ascii="Arial" w:hAnsi="Arial" w:cs="Arial"/>
                <w:sz w:val="22"/>
                <w:szCs w:val="22"/>
                <w:lang w:val="en-CA"/>
              </w:rPr>
              <w:t>jpm</w:t>
            </w:r>
            <w:proofErr w:type="spellEnd"/>
            <w:r w:rsidRPr="000B429E">
              <w:rPr>
                <w:rFonts w:ascii="Arial" w:hAnsi="Arial" w:cs="Arial"/>
                <w:sz w:val="22"/>
                <w:szCs w:val="22"/>
                <w:lang w:val="en-CA"/>
              </w:rPr>
              <w:t>)</w:t>
            </w:r>
          </w:p>
        </w:tc>
        <w:tc>
          <w:tcPr>
            <w:tcW w:w="2620" w:type="dxa"/>
            <w:tcBorders>
              <w:bottom w:val="single" w:sz="8" w:space="0" w:color="auto"/>
              <w:right w:val="single" w:sz="8" w:space="0" w:color="auto"/>
            </w:tcBorders>
            <w:vAlign w:val="bottom"/>
          </w:tcPr>
          <w:p w:rsidR="000B429E" w:rsidRPr="000B429E" w:rsidRDefault="000B429E" w:rsidP="007415A0">
            <w:pPr>
              <w:rPr>
                <w:rFonts w:ascii="Arial" w:hAnsi="Arial" w:cs="Arial"/>
                <w:sz w:val="22"/>
                <w:szCs w:val="22"/>
                <w:lang w:val="en-CA"/>
              </w:rPr>
            </w:pPr>
          </w:p>
        </w:tc>
      </w:tr>
      <w:tr w:rsidR="000B429E" w:rsidRPr="000B429E" w:rsidTr="007415A0">
        <w:trPr>
          <w:trHeight w:val="314"/>
        </w:trPr>
        <w:tc>
          <w:tcPr>
            <w:tcW w:w="1400" w:type="dxa"/>
            <w:tcBorders>
              <w:left w:val="single" w:sz="8" w:space="0" w:color="auto"/>
              <w:right w:val="single" w:sz="8" w:space="0" w:color="auto"/>
            </w:tcBorders>
            <w:vAlign w:val="bottom"/>
          </w:tcPr>
          <w:p w:rsidR="000B429E" w:rsidRPr="000B429E" w:rsidRDefault="000B429E" w:rsidP="007415A0">
            <w:pPr>
              <w:jc w:val="center"/>
              <w:rPr>
                <w:rFonts w:ascii="Arial" w:hAnsi="Arial" w:cs="Arial"/>
                <w:sz w:val="22"/>
                <w:szCs w:val="22"/>
                <w:lang w:val="en-CA"/>
              </w:rPr>
            </w:pPr>
            <w:proofErr w:type="spellStart"/>
            <w:r w:rsidRPr="000B429E">
              <w:rPr>
                <w:rFonts w:ascii="Arial" w:hAnsi="Arial" w:cs="Arial"/>
                <w:sz w:val="22"/>
                <w:szCs w:val="22"/>
                <w:lang w:val="en-CA"/>
              </w:rPr>
              <w:t>Apm</w:t>
            </w:r>
            <w:proofErr w:type="spellEnd"/>
          </w:p>
        </w:tc>
        <w:tc>
          <w:tcPr>
            <w:tcW w:w="2620" w:type="dxa"/>
            <w:tcBorders>
              <w:right w:val="single" w:sz="8" w:space="0" w:color="auto"/>
            </w:tcBorders>
            <w:vAlign w:val="bottom"/>
          </w:tcPr>
          <w:p w:rsidR="000B429E" w:rsidRPr="000B429E" w:rsidRDefault="000B429E" w:rsidP="007415A0">
            <w:pPr>
              <w:jc w:val="center"/>
              <w:rPr>
                <w:rFonts w:ascii="Arial" w:hAnsi="Arial" w:cs="Arial"/>
                <w:sz w:val="22"/>
                <w:szCs w:val="22"/>
                <w:lang w:val="en-CA"/>
              </w:rPr>
            </w:pPr>
            <w:r w:rsidRPr="000B429E">
              <w:rPr>
                <w:rFonts w:ascii="Arial" w:hAnsi="Arial" w:cs="Arial"/>
                <w:w w:val="99"/>
                <w:sz w:val="22"/>
                <w:szCs w:val="22"/>
                <w:lang w:val="en-CA"/>
              </w:rPr>
              <w:t>2,35</w:t>
            </w:r>
          </w:p>
        </w:tc>
      </w:tr>
      <w:tr w:rsidR="000B429E" w:rsidRPr="000B429E" w:rsidTr="000B429E">
        <w:trPr>
          <w:trHeight w:val="55"/>
        </w:trPr>
        <w:tc>
          <w:tcPr>
            <w:tcW w:w="1400" w:type="dxa"/>
            <w:tcBorders>
              <w:left w:val="single" w:sz="8" w:space="0" w:color="auto"/>
              <w:bottom w:val="single" w:sz="8" w:space="0" w:color="auto"/>
              <w:right w:val="single" w:sz="8" w:space="0" w:color="auto"/>
            </w:tcBorders>
            <w:vAlign w:val="bottom"/>
          </w:tcPr>
          <w:p w:rsidR="000B429E" w:rsidRPr="000B429E" w:rsidRDefault="000B429E" w:rsidP="007415A0">
            <w:pPr>
              <w:rPr>
                <w:rFonts w:ascii="Arial" w:hAnsi="Arial" w:cs="Arial"/>
                <w:sz w:val="22"/>
                <w:szCs w:val="22"/>
                <w:lang w:val="en-CA"/>
              </w:rPr>
            </w:pPr>
          </w:p>
        </w:tc>
        <w:tc>
          <w:tcPr>
            <w:tcW w:w="2620" w:type="dxa"/>
            <w:tcBorders>
              <w:bottom w:val="single" w:sz="8" w:space="0" w:color="auto"/>
              <w:right w:val="single" w:sz="8" w:space="0" w:color="auto"/>
            </w:tcBorders>
            <w:vAlign w:val="bottom"/>
          </w:tcPr>
          <w:p w:rsidR="000B429E" w:rsidRPr="000B429E" w:rsidRDefault="000B429E" w:rsidP="007415A0">
            <w:pPr>
              <w:rPr>
                <w:rFonts w:ascii="Arial" w:hAnsi="Arial" w:cs="Arial"/>
                <w:sz w:val="22"/>
                <w:szCs w:val="22"/>
                <w:lang w:val="en-CA"/>
              </w:rPr>
            </w:pPr>
          </w:p>
        </w:tc>
      </w:tr>
      <w:tr w:rsidR="000B429E" w:rsidRPr="000B429E" w:rsidTr="000B429E">
        <w:trPr>
          <w:trHeight w:val="312"/>
        </w:trPr>
        <w:tc>
          <w:tcPr>
            <w:tcW w:w="1400" w:type="dxa"/>
            <w:tcBorders>
              <w:top w:val="single" w:sz="8" w:space="0" w:color="auto"/>
              <w:left w:val="single" w:sz="8" w:space="0" w:color="auto"/>
              <w:bottom w:val="single" w:sz="4" w:space="0" w:color="auto"/>
              <w:right w:val="single" w:sz="8" w:space="0" w:color="auto"/>
            </w:tcBorders>
            <w:vAlign w:val="bottom"/>
          </w:tcPr>
          <w:p w:rsidR="000B429E" w:rsidRPr="000B429E" w:rsidRDefault="000B429E" w:rsidP="007415A0">
            <w:pPr>
              <w:jc w:val="center"/>
              <w:rPr>
                <w:rFonts w:ascii="Arial" w:hAnsi="Arial" w:cs="Arial"/>
                <w:sz w:val="22"/>
                <w:szCs w:val="22"/>
                <w:lang w:val="en-CA"/>
              </w:rPr>
            </w:pPr>
            <w:r w:rsidRPr="000B429E">
              <w:rPr>
                <w:rFonts w:ascii="Arial" w:hAnsi="Arial" w:cs="Arial"/>
                <w:w w:val="98"/>
                <w:sz w:val="22"/>
                <w:szCs w:val="22"/>
                <w:lang w:val="en-CA"/>
              </w:rPr>
              <w:t>Bpm</w:t>
            </w:r>
          </w:p>
        </w:tc>
        <w:tc>
          <w:tcPr>
            <w:tcW w:w="2620" w:type="dxa"/>
            <w:tcBorders>
              <w:top w:val="single" w:sz="8" w:space="0" w:color="auto"/>
              <w:bottom w:val="single" w:sz="4" w:space="0" w:color="auto"/>
              <w:right w:val="single" w:sz="8" w:space="0" w:color="auto"/>
            </w:tcBorders>
            <w:vAlign w:val="bottom"/>
          </w:tcPr>
          <w:p w:rsidR="000B429E" w:rsidRPr="000B429E" w:rsidRDefault="000B429E" w:rsidP="007415A0">
            <w:pPr>
              <w:jc w:val="center"/>
              <w:rPr>
                <w:rFonts w:ascii="Arial" w:hAnsi="Arial" w:cs="Arial"/>
                <w:sz w:val="22"/>
                <w:szCs w:val="22"/>
                <w:lang w:val="en-CA"/>
              </w:rPr>
            </w:pPr>
            <w:r w:rsidRPr="000B429E">
              <w:rPr>
                <w:rFonts w:ascii="Arial" w:hAnsi="Arial" w:cs="Arial"/>
                <w:w w:val="99"/>
                <w:sz w:val="22"/>
                <w:szCs w:val="22"/>
                <w:lang w:val="en-CA"/>
              </w:rPr>
              <w:t>2,00</w:t>
            </w:r>
          </w:p>
        </w:tc>
      </w:tr>
    </w:tbl>
    <w:p w:rsidR="000B429E" w:rsidRPr="000B429E" w:rsidRDefault="000B429E" w:rsidP="000B429E">
      <w:pPr>
        <w:jc w:val="both"/>
        <w:rPr>
          <w:rFonts w:ascii="Arial" w:hAnsi="Arial" w:cs="Arial"/>
          <w:sz w:val="22"/>
          <w:szCs w:val="22"/>
          <w:lang w:val="en-GB"/>
        </w:rPr>
      </w:pPr>
    </w:p>
    <w:p w:rsidR="000B429E" w:rsidRPr="000B429E" w:rsidRDefault="000B429E" w:rsidP="000B429E">
      <w:pPr>
        <w:jc w:val="both"/>
        <w:rPr>
          <w:rFonts w:ascii="Arial" w:hAnsi="Arial" w:cs="Arial"/>
          <w:sz w:val="22"/>
          <w:szCs w:val="22"/>
          <w:lang w:val="en-GB"/>
        </w:rPr>
      </w:pPr>
      <w:r w:rsidRPr="000B429E">
        <w:rPr>
          <w:rFonts w:ascii="Arial" w:hAnsi="Arial" w:cs="Arial"/>
          <w:b/>
          <w:sz w:val="22"/>
          <w:szCs w:val="22"/>
          <w:lang w:val="en-GB"/>
        </w:rPr>
        <w:t>Terms and conditions of sale</w:t>
      </w:r>
      <w:r w:rsidRPr="000B429E">
        <w:rPr>
          <w:rFonts w:ascii="Arial" w:hAnsi="Arial" w:cs="Arial"/>
          <w:sz w:val="22"/>
          <w:szCs w:val="22"/>
          <w:lang w:val="en-GB"/>
        </w:rPr>
        <w:t>: Price is set per one square meter</w:t>
      </w:r>
      <w:r w:rsidRPr="000B429E">
        <w:rPr>
          <w:rFonts w:ascii="Arial" w:hAnsi="Arial" w:cs="Arial"/>
          <w:sz w:val="22"/>
          <w:szCs w:val="22"/>
          <w:vertAlign w:val="superscript"/>
          <w:lang w:val="en-GB"/>
        </w:rPr>
        <w:t xml:space="preserve"> </w:t>
      </w:r>
      <w:r w:rsidRPr="000B429E">
        <w:rPr>
          <w:rFonts w:ascii="Arial" w:hAnsi="Arial" w:cs="Arial"/>
          <w:sz w:val="22"/>
          <w:szCs w:val="22"/>
          <w:lang w:val="en-GB"/>
        </w:rPr>
        <w:t>of a sales office for one month excluding VAT. Charge is applicable for each commenced calendar month of service provision.</w:t>
      </w:r>
    </w:p>
    <w:p w:rsidR="000B429E" w:rsidRPr="000B429E" w:rsidRDefault="000B429E">
      <w:pPr>
        <w:rPr>
          <w:rFonts w:ascii="Arial" w:hAnsi="Arial" w:cs="Arial"/>
          <w:sz w:val="22"/>
          <w:szCs w:val="22"/>
        </w:rPr>
      </w:pPr>
    </w:p>
    <w:p w:rsidR="000B429E" w:rsidRPr="000B429E" w:rsidRDefault="000B429E" w:rsidP="000B429E">
      <w:pPr>
        <w:ind w:firstLine="851"/>
        <w:jc w:val="both"/>
        <w:outlineLvl w:val="2"/>
        <w:rPr>
          <w:rFonts w:ascii="Arial" w:hAnsi="Arial" w:cs="Arial"/>
          <w:sz w:val="22"/>
          <w:szCs w:val="22"/>
          <w:u w:val="single"/>
          <w:lang w:val="en-GB"/>
        </w:rPr>
      </w:pPr>
      <w:bookmarkStart w:id="8" w:name="_Toc57753693"/>
      <w:bookmarkStart w:id="9" w:name="_Toc70495732"/>
      <w:bookmarkStart w:id="10" w:name="_Toc70496700"/>
      <w:bookmarkStart w:id="11" w:name="_Toc90637449"/>
      <w:bookmarkStart w:id="12" w:name="_Toc90649445"/>
      <w:r w:rsidRPr="000B429E">
        <w:rPr>
          <w:rFonts w:ascii="Arial" w:hAnsi="Arial" w:cs="Arial"/>
          <w:sz w:val="22"/>
          <w:szCs w:val="22"/>
          <w:u w:val="single"/>
          <w:lang w:val="en-GB"/>
        </w:rPr>
        <w:t>Location for ticketing services</w:t>
      </w:r>
      <w:bookmarkEnd w:id="8"/>
      <w:bookmarkEnd w:id="9"/>
      <w:bookmarkEnd w:id="10"/>
      <w:bookmarkEnd w:id="11"/>
      <w:bookmarkEnd w:id="12"/>
    </w:p>
    <w:p w:rsidR="000B429E" w:rsidRPr="000B429E" w:rsidRDefault="000B429E" w:rsidP="000B429E">
      <w:pPr>
        <w:spacing w:after="120"/>
        <w:jc w:val="both"/>
        <w:rPr>
          <w:rFonts w:ascii="Arial" w:hAnsi="Arial" w:cs="Arial"/>
          <w:sz w:val="22"/>
          <w:szCs w:val="22"/>
          <w:lang w:val="en-GB"/>
        </w:rPr>
      </w:pPr>
    </w:p>
    <w:p w:rsidR="000B429E" w:rsidRPr="000B429E" w:rsidRDefault="000B429E" w:rsidP="000B429E">
      <w:pPr>
        <w:jc w:val="both"/>
        <w:rPr>
          <w:rStyle w:val="tlid-translation"/>
          <w:rFonts w:ascii="Arial" w:hAnsi="Arial" w:cs="Arial"/>
          <w:sz w:val="22"/>
          <w:szCs w:val="22"/>
          <w:lang w:val="en-GB"/>
        </w:rPr>
      </w:pPr>
      <w:proofErr w:type="gramStart"/>
      <w:r w:rsidRPr="000B429E">
        <w:rPr>
          <w:rStyle w:val="tlid-translation"/>
          <w:rFonts w:ascii="Arial" w:hAnsi="Arial" w:cs="Arial"/>
          <w:sz w:val="22"/>
          <w:szCs w:val="22"/>
          <w:lang w:val="en-GB"/>
        </w:rPr>
        <w:t>In the event of a positive decision regarding a request of the Railway Undertaking, ŽSR shall enter into Agreement on the use of location for ticketing services (hereinafter referred to as the “Agreement") the integral part of which shall be the annex with the list of allocated location for ticketing services capacity for the relevant period of validity of the timetable, unless the Railway Undertaking has already concluded this Agreement with ŽSR.</w:t>
      </w:r>
      <w:proofErr w:type="gramEnd"/>
      <w:r w:rsidRPr="000B429E">
        <w:rPr>
          <w:rStyle w:val="tlid-translation"/>
          <w:rFonts w:ascii="Arial" w:hAnsi="Arial" w:cs="Arial"/>
          <w:sz w:val="22"/>
          <w:szCs w:val="22"/>
          <w:lang w:val="en-GB"/>
        </w:rPr>
        <w:t xml:space="preserve"> If such Agreement </w:t>
      </w:r>
      <w:proofErr w:type="gramStart"/>
      <w:r w:rsidRPr="000B429E">
        <w:rPr>
          <w:rStyle w:val="tlid-translation"/>
          <w:rFonts w:ascii="Arial" w:hAnsi="Arial" w:cs="Arial"/>
          <w:sz w:val="22"/>
          <w:szCs w:val="22"/>
          <w:lang w:val="en-GB"/>
        </w:rPr>
        <w:t>has already been concluded</w:t>
      </w:r>
      <w:proofErr w:type="gramEnd"/>
      <w:r w:rsidRPr="000B429E">
        <w:rPr>
          <w:rStyle w:val="tlid-translation"/>
          <w:rFonts w:ascii="Arial" w:hAnsi="Arial" w:cs="Arial"/>
          <w:sz w:val="22"/>
          <w:szCs w:val="22"/>
          <w:lang w:val="en-GB"/>
        </w:rPr>
        <w:t xml:space="preserve">, ŽSR will enter into Agreement with the Railway Undertaking. This procedure </w:t>
      </w:r>
      <w:proofErr w:type="gramStart"/>
      <w:r w:rsidRPr="000B429E">
        <w:rPr>
          <w:rStyle w:val="tlid-translation"/>
          <w:rFonts w:ascii="Arial" w:hAnsi="Arial" w:cs="Arial"/>
          <w:sz w:val="22"/>
          <w:szCs w:val="22"/>
          <w:lang w:val="en-GB"/>
        </w:rPr>
        <w:t>is also applied</w:t>
      </w:r>
      <w:proofErr w:type="gramEnd"/>
      <w:r w:rsidRPr="000B429E">
        <w:rPr>
          <w:rStyle w:val="tlid-translation"/>
          <w:rFonts w:ascii="Arial" w:hAnsi="Arial" w:cs="Arial"/>
          <w:sz w:val="22"/>
          <w:szCs w:val="22"/>
          <w:lang w:val="en-GB"/>
        </w:rPr>
        <w:t xml:space="preserve"> in the case of positive decision regarding ad hoc request and a delayed request. The right of access to these service facilities and services related to rail passenger transport is not transferable to other applicants.</w:t>
      </w:r>
    </w:p>
    <w:p w:rsidR="000B429E" w:rsidRPr="000B429E" w:rsidRDefault="000B429E" w:rsidP="000B429E">
      <w:pPr>
        <w:jc w:val="both"/>
        <w:rPr>
          <w:rStyle w:val="tlid-translation"/>
          <w:rFonts w:ascii="Arial" w:hAnsi="Arial" w:cs="Arial"/>
          <w:sz w:val="22"/>
          <w:szCs w:val="22"/>
          <w:lang w:val="en-GB"/>
        </w:rPr>
      </w:pPr>
    </w:p>
    <w:p w:rsidR="000B429E" w:rsidRPr="000B429E" w:rsidRDefault="000B429E" w:rsidP="000B429E">
      <w:pPr>
        <w:jc w:val="both"/>
        <w:rPr>
          <w:rStyle w:val="tlid-translation"/>
          <w:rFonts w:ascii="Arial" w:hAnsi="Arial" w:cs="Arial"/>
          <w:sz w:val="22"/>
          <w:szCs w:val="22"/>
          <w:lang w:val="en-GB"/>
        </w:rPr>
      </w:pPr>
      <w:r w:rsidRPr="000B429E">
        <w:rPr>
          <w:rStyle w:val="tlid-translation"/>
          <w:rFonts w:ascii="Arial" w:hAnsi="Arial" w:cs="Arial"/>
          <w:sz w:val="22"/>
          <w:szCs w:val="22"/>
          <w:lang w:val="en-GB"/>
        </w:rPr>
        <w:lastRenderedPageBreak/>
        <w:t>If the applicant does not intend to exercise the above right of access to the service facility or rail passenger related service assigned to the ŽSR, he shall inform the ŽSR without undue delay.</w:t>
      </w:r>
    </w:p>
    <w:p w:rsidR="000B429E" w:rsidRPr="000B429E" w:rsidRDefault="000B429E" w:rsidP="000B429E">
      <w:pPr>
        <w:jc w:val="both"/>
        <w:rPr>
          <w:rStyle w:val="tlid-translation"/>
          <w:rFonts w:ascii="Arial" w:hAnsi="Arial" w:cs="Arial"/>
          <w:sz w:val="22"/>
          <w:szCs w:val="22"/>
          <w:lang w:val="en-GB"/>
        </w:rPr>
      </w:pPr>
      <w:r w:rsidRPr="000B429E">
        <w:rPr>
          <w:rFonts w:ascii="Arial" w:hAnsi="Arial" w:cs="Arial"/>
          <w:sz w:val="22"/>
          <w:szCs w:val="22"/>
          <w:lang w:val="en-GB"/>
        </w:rPr>
        <w:br/>
      </w:r>
      <w:r w:rsidRPr="000B429E">
        <w:rPr>
          <w:rStyle w:val="tlid-translation"/>
          <w:rFonts w:ascii="Arial" w:hAnsi="Arial" w:cs="Arial"/>
          <w:sz w:val="22"/>
          <w:szCs w:val="22"/>
          <w:lang w:val="en-GB"/>
        </w:rPr>
        <w:t xml:space="preserve">ŽSR hands over the location for ticketing services to applicants for the period of validity of a single timetable through take-over/hand-over protocol of the location for ticketing services (hereinafter referred to as "the Protocol") that precedes the conclusion of the Agreement on the use of location for ticketing services. The general terms of use of the location for ticketing services are part of the Agreement between ŽSR and the Railway Undertaking. Template of the Agreement on the use of location for ticketing services is set out in </w:t>
      </w:r>
      <w:r w:rsidRPr="000B429E">
        <w:rPr>
          <w:rStyle w:val="tlid-translation"/>
          <w:rFonts w:ascii="Arial" w:hAnsi="Arial" w:cs="Arial"/>
          <w:sz w:val="22"/>
          <w:szCs w:val="22"/>
          <w:u w:val="single"/>
          <w:lang w:val="en-GB"/>
        </w:rPr>
        <w:t xml:space="preserve">Annex </w:t>
      </w:r>
      <w:r>
        <w:rPr>
          <w:rStyle w:val="tlid-translation"/>
          <w:rFonts w:ascii="Arial" w:hAnsi="Arial" w:cs="Arial"/>
          <w:sz w:val="22"/>
          <w:szCs w:val="22"/>
          <w:u w:val="single"/>
          <w:lang w:val="en-GB"/>
        </w:rPr>
        <w:t>2</w:t>
      </w:r>
      <w:r w:rsidRPr="000B429E">
        <w:rPr>
          <w:rStyle w:val="tlid-translation"/>
          <w:rFonts w:ascii="Arial" w:hAnsi="Arial" w:cs="Arial"/>
          <w:sz w:val="22"/>
          <w:szCs w:val="22"/>
          <w:lang w:val="en-GB"/>
        </w:rPr>
        <w:t xml:space="preserve"> and the General Terms and Conditions for the use of access services to location for ticketing services </w:t>
      </w:r>
      <w:proofErr w:type="gramStart"/>
      <w:r w:rsidRPr="000B429E">
        <w:rPr>
          <w:rStyle w:val="tlid-translation"/>
          <w:rFonts w:ascii="Arial" w:hAnsi="Arial" w:cs="Arial"/>
          <w:sz w:val="22"/>
          <w:szCs w:val="22"/>
          <w:lang w:val="en-GB"/>
        </w:rPr>
        <w:t>are listed</w:t>
      </w:r>
      <w:proofErr w:type="gramEnd"/>
      <w:r w:rsidRPr="000B429E">
        <w:rPr>
          <w:rStyle w:val="tlid-translation"/>
          <w:rFonts w:ascii="Arial" w:hAnsi="Arial" w:cs="Arial"/>
          <w:sz w:val="22"/>
          <w:szCs w:val="22"/>
          <w:lang w:val="en-GB"/>
        </w:rPr>
        <w:t xml:space="preserve"> in </w:t>
      </w:r>
      <w:r w:rsidRPr="000B429E">
        <w:rPr>
          <w:rStyle w:val="tlid-translation"/>
          <w:rFonts w:ascii="Arial" w:hAnsi="Arial" w:cs="Arial"/>
          <w:sz w:val="22"/>
          <w:szCs w:val="22"/>
          <w:u w:val="single"/>
          <w:lang w:val="en-GB"/>
        </w:rPr>
        <w:t xml:space="preserve">Annex </w:t>
      </w:r>
      <w:r>
        <w:rPr>
          <w:rStyle w:val="tlid-translation"/>
          <w:rFonts w:ascii="Arial" w:hAnsi="Arial" w:cs="Arial"/>
          <w:sz w:val="22"/>
          <w:szCs w:val="22"/>
          <w:u w:val="single"/>
          <w:lang w:val="en-GB"/>
        </w:rPr>
        <w:t>3</w:t>
      </w:r>
      <w:r w:rsidRPr="000B429E">
        <w:rPr>
          <w:rStyle w:val="tlid-translation"/>
          <w:rFonts w:ascii="Arial" w:hAnsi="Arial" w:cs="Arial"/>
          <w:sz w:val="22"/>
          <w:szCs w:val="22"/>
          <w:lang w:val="en-GB"/>
        </w:rPr>
        <w:t>.</w:t>
      </w:r>
    </w:p>
    <w:p w:rsidR="000B429E" w:rsidRPr="000B429E" w:rsidRDefault="000B429E" w:rsidP="000B429E">
      <w:pPr>
        <w:jc w:val="both"/>
        <w:rPr>
          <w:rStyle w:val="tlid-translation"/>
          <w:rFonts w:ascii="Arial" w:hAnsi="Arial" w:cs="Arial"/>
          <w:sz w:val="22"/>
          <w:szCs w:val="22"/>
          <w:lang w:val="en-GB"/>
        </w:rPr>
      </w:pPr>
    </w:p>
    <w:p w:rsidR="000B429E" w:rsidRPr="000B429E" w:rsidRDefault="000B429E" w:rsidP="000B429E">
      <w:pPr>
        <w:ind w:left="851"/>
        <w:jc w:val="both"/>
        <w:rPr>
          <w:rStyle w:val="tlid-translation"/>
          <w:rFonts w:ascii="Arial" w:hAnsi="Arial" w:cs="Arial"/>
          <w:b/>
          <w:sz w:val="22"/>
          <w:szCs w:val="22"/>
          <w:u w:val="single"/>
          <w:lang w:val="en-GB"/>
        </w:rPr>
      </w:pPr>
      <w:r w:rsidRPr="000B429E">
        <w:rPr>
          <w:rStyle w:val="tlid-translation"/>
          <w:rFonts w:ascii="Arial" w:hAnsi="Arial" w:cs="Arial"/>
          <w:b/>
          <w:sz w:val="22"/>
          <w:szCs w:val="22"/>
          <w:u w:val="single"/>
          <w:lang w:val="en-GB"/>
        </w:rPr>
        <w:t>Request for capacity allocation of location for ticketing services</w:t>
      </w:r>
    </w:p>
    <w:p w:rsidR="000B429E" w:rsidRPr="000B429E" w:rsidRDefault="000B429E" w:rsidP="000B429E">
      <w:pPr>
        <w:jc w:val="both"/>
        <w:rPr>
          <w:rStyle w:val="tlid-translation"/>
          <w:rFonts w:ascii="Arial" w:hAnsi="Arial" w:cs="Arial"/>
          <w:sz w:val="22"/>
          <w:szCs w:val="22"/>
          <w:lang w:val="en-GB"/>
        </w:rPr>
      </w:pPr>
      <w:r w:rsidRPr="000B429E">
        <w:rPr>
          <w:rFonts w:ascii="Arial" w:hAnsi="Arial" w:cs="Arial"/>
          <w:sz w:val="22"/>
          <w:szCs w:val="22"/>
          <w:lang w:val="en-GB"/>
        </w:rPr>
        <w:br/>
      </w:r>
      <w:r w:rsidRPr="000B429E">
        <w:rPr>
          <w:rStyle w:val="tlid-translation"/>
          <w:rFonts w:ascii="Arial" w:hAnsi="Arial" w:cs="Arial"/>
          <w:sz w:val="22"/>
          <w:szCs w:val="22"/>
          <w:lang w:val="en-GB"/>
        </w:rPr>
        <w:t xml:space="preserve">The Railway Undertaking (hereinafter referred to as the "Applicant") shall send a written application for capacity allocation of location for ticketing services to the operator's address: ŽSR Property Management Bratislava, Holekova 6, 811 04 Bratislava or email to the ŽSR Property Management Bratislava Secretariat: </w:t>
      </w:r>
      <w:hyperlink r:id="rId5" w:history="1">
        <w:r w:rsidRPr="000B429E">
          <w:rPr>
            <w:rStyle w:val="Hypertextovprepojenie"/>
            <w:rFonts w:ascii="Arial" w:hAnsi="Arial" w:cs="Arial"/>
            <w:sz w:val="22"/>
            <w:szCs w:val="22"/>
            <w:lang w:val="en-GB"/>
          </w:rPr>
          <w:t>SM.BA@zsr.sk</w:t>
        </w:r>
      </w:hyperlink>
      <w:r w:rsidRPr="000B429E">
        <w:rPr>
          <w:rStyle w:val="tlid-translation"/>
          <w:rFonts w:ascii="Arial" w:hAnsi="Arial" w:cs="Arial"/>
          <w:sz w:val="22"/>
          <w:szCs w:val="22"/>
          <w:lang w:val="en-GB"/>
        </w:rPr>
        <w:t xml:space="preserve">. </w:t>
      </w:r>
      <w:proofErr w:type="gramStart"/>
      <w:r w:rsidRPr="000B429E">
        <w:rPr>
          <w:rStyle w:val="tlid-translation"/>
          <w:rFonts w:ascii="Arial" w:hAnsi="Arial" w:cs="Arial"/>
          <w:sz w:val="22"/>
          <w:szCs w:val="22"/>
          <w:lang w:val="en-GB"/>
        </w:rPr>
        <w:t>The application must be signed by a person authorized to sign on behalf of the railway undertaking</w:t>
      </w:r>
      <w:proofErr w:type="gramEnd"/>
      <w:r w:rsidRPr="000B429E">
        <w:rPr>
          <w:rStyle w:val="tlid-translation"/>
          <w:rFonts w:ascii="Arial" w:hAnsi="Arial" w:cs="Arial"/>
          <w:sz w:val="22"/>
          <w:szCs w:val="22"/>
          <w:lang w:val="en-GB"/>
        </w:rPr>
        <w:t>. The applicant shall include in the application the minimum data from Annex 3.6.9 (List of traffic points with leased premises intended for ticketing services), which include:</w:t>
      </w:r>
    </w:p>
    <w:p w:rsidR="000B429E" w:rsidRPr="000B429E" w:rsidRDefault="000B429E" w:rsidP="000B429E">
      <w:pPr>
        <w:numPr>
          <w:ilvl w:val="0"/>
          <w:numId w:val="1"/>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room number</w:t>
      </w:r>
    </w:p>
    <w:p w:rsidR="000B429E" w:rsidRPr="000B429E" w:rsidRDefault="000B429E" w:rsidP="000B429E">
      <w:pPr>
        <w:numPr>
          <w:ilvl w:val="0"/>
          <w:numId w:val="1"/>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building number</w:t>
      </w:r>
    </w:p>
    <w:p w:rsidR="000B429E" w:rsidRPr="000B429E" w:rsidRDefault="000B429E" w:rsidP="000B429E">
      <w:pPr>
        <w:numPr>
          <w:ilvl w:val="0"/>
          <w:numId w:val="1"/>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name of a traffic point</w:t>
      </w:r>
    </w:p>
    <w:p w:rsidR="000B429E" w:rsidRPr="000B429E" w:rsidRDefault="000B429E" w:rsidP="000B429E">
      <w:pPr>
        <w:numPr>
          <w:ilvl w:val="0"/>
          <w:numId w:val="1"/>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room designation</w:t>
      </w:r>
    </w:p>
    <w:p w:rsidR="000B429E" w:rsidRPr="000B429E" w:rsidRDefault="000B429E" w:rsidP="000B429E">
      <w:pPr>
        <w:numPr>
          <w:ilvl w:val="0"/>
          <w:numId w:val="1"/>
        </w:numPr>
        <w:jc w:val="both"/>
        <w:rPr>
          <w:rStyle w:val="tlid-translation"/>
          <w:rFonts w:ascii="Arial" w:hAnsi="Arial" w:cs="Arial"/>
          <w:sz w:val="22"/>
          <w:szCs w:val="22"/>
          <w:lang w:val="en-GB"/>
        </w:rPr>
      </w:pPr>
      <w:proofErr w:type="gramStart"/>
      <w:r w:rsidRPr="000B429E">
        <w:rPr>
          <w:rStyle w:val="tlid-translation"/>
          <w:rFonts w:ascii="Arial" w:hAnsi="Arial" w:cs="Arial"/>
          <w:sz w:val="22"/>
          <w:szCs w:val="22"/>
          <w:lang w:val="en-GB"/>
        </w:rPr>
        <w:t>surface</w:t>
      </w:r>
      <w:proofErr w:type="gramEnd"/>
      <w:r w:rsidRPr="000B429E">
        <w:rPr>
          <w:rStyle w:val="tlid-translation"/>
          <w:rFonts w:ascii="Arial" w:hAnsi="Arial" w:cs="Arial"/>
          <w:sz w:val="22"/>
          <w:szCs w:val="22"/>
          <w:lang w:val="en-GB"/>
        </w:rPr>
        <w:t xml:space="preserve"> area related to location for ticketing services for which the allocation is intended.</w:t>
      </w:r>
    </w:p>
    <w:p w:rsidR="000B429E" w:rsidRPr="000B429E" w:rsidRDefault="000B429E" w:rsidP="000B429E">
      <w:pPr>
        <w:jc w:val="both"/>
        <w:rPr>
          <w:rStyle w:val="tlid-translation"/>
          <w:rFonts w:ascii="Arial" w:hAnsi="Arial" w:cs="Arial"/>
          <w:sz w:val="22"/>
          <w:szCs w:val="22"/>
          <w:lang w:val="en-GB"/>
        </w:rPr>
      </w:pPr>
      <w:r w:rsidRPr="000B429E">
        <w:rPr>
          <w:rStyle w:val="tlid-translation"/>
          <w:rFonts w:ascii="Arial" w:hAnsi="Arial" w:cs="Arial"/>
          <w:sz w:val="22"/>
          <w:szCs w:val="22"/>
          <w:lang w:val="en-GB"/>
        </w:rPr>
        <w:t>In case of interest in placing self-service devices (machines) or booths, kiosks, the applicant shall indicate in the application:</w:t>
      </w:r>
    </w:p>
    <w:p w:rsidR="000B429E" w:rsidRPr="000B429E" w:rsidRDefault="000B429E" w:rsidP="000B429E">
      <w:pPr>
        <w:numPr>
          <w:ilvl w:val="0"/>
          <w:numId w:val="2"/>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name of the transport point,</w:t>
      </w:r>
    </w:p>
    <w:p w:rsidR="000B429E" w:rsidRPr="000B429E" w:rsidRDefault="000B429E" w:rsidP="000B429E">
      <w:pPr>
        <w:numPr>
          <w:ilvl w:val="0"/>
          <w:numId w:val="2"/>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number of self-service devices (machines) or stalls, kiosks, etc. to be placed,</w:t>
      </w:r>
    </w:p>
    <w:p w:rsidR="000B429E" w:rsidRPr="000B429E" w:rsidRDefault="000B429E" w:rsidP="000B429E">
      <w:pPr>
        <w:numPr>
          <w:ilvl w:val="0"/>
          <w:numId w:val="2"/>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Identification of self-service devices (machines) or stands, kiosks, etc. (floor plan in cm, dimensions in cm - width/height/depth),</w:t>
      </w:r>
    </w:p>
    <w:p w:rsidR="000B429E" w:rsidRPr="000B429E" w:rsidRDefault="000B429E" w:rsidP="000B429E">
      <w:pPr>
        <w:numPr>
          <w:ilvl w:val="0"/>
          <w:numId w:val="2"/>
        </w:numPr>
        <w:jc w:val="both"/>
        <w:rPr>
          <w:rStyle w:val="tlid-translation"/>
          <w:rFonts w:ascii="Arial" w:hAnsi="Arial" w:cs="Arial"/>
          <w:sz w:val="22"/>
          <w:szCs w:val="22"/>
          <w:lang w:val="en-GB"/>
        </w:rPr>
      </w:pPr>
      <w:proofErr w:type="gramStart"/>
      <w:r w:rsidRPr="000B429E">
        <w:rPr>
          <w:rStyle w:val="tlid-translation"/>
          <w:rFonts w:ascii="Arial" w:hAnsi="Arial" w:cs="Arial"/>
          <w:sz w:val="22"/>
          <w:szCs w:val="22"/>
          <w:lang w:val="en-GB"/>
        </w:rPr>
        <w:t>location</w:t>
      </w:r>
      <w:proofErr w:type="gramEnd"/>
      <w:r w:rsidRPr="000B429E">
        <w:rPr>
          <w:rStyle w:val="tlid-translation"/>
          <w:rFonts w:ascii="Arial" w:hAnsi="Arial" w:cs="Arial"/>
          <w:sz w:val="22"/>
          <w:szCs w:val="22"/>
          <w:lang w:val="en-GB"/>
        </w:rPr>
        <w:t xml:space="preserve"> of the device, situational layout, location description.</w:t>
      </w:r>
    </w:p>
    <w:p w:rsidR="000B429E" w:rsidRPr="000B429E" w:rsidRDefault="000B429E" w:rsidP="000B429E">
      <w:pPr>
        <w:jc w:val="both"/>
        <w:rPr>
          <w:rStyle w:val="tlid-translation"/>
          <w:rFonts w:ascii="Arial" w:hAnsi="Arial" w:cs="Arial"/>
          <w:sz w:val="22"/>
          <w:szCs w:val="22"/>
          <w:lang w:val="en-GB"/>
        </w:rPr>
      </w:pPr>
      <w:r w:rsidRPr="000B429E">
        <w:rPr>
          <w:rStyle w:val="tlid-translation"/>
          <w:rFonts w:ascii="Arial" w:hAnsi="Arial" w:cs="Arial"/>
          <w:sz w:val="22"/>
          <w:szCs w:val="22"/>
          <w:lang w:val="en-GB"/>
        </w:rPr>
        <w:t>At the same time, in the application the indication of the time span, resp. period of use of location               for ticketing services during timetable validity.</w:t>
      </w:r>
    </w:p>
    <w:p w:rsidR="000B429E" w:rsidRPr="000B429E" w:rsidRDefault="000B429E" w:rsidP="000B429E">
      <w:pPr>
        <w:jc w:val="both"/>
        <w:rPr>
          <w:rStyle w:val="tlid-translation"/>
          <w:rFonts w:ascii="Arial" w:hAnsi="Arial" w:cs="Arial"/>
          <w:sz w:val="22"/>
          <w:szCs w:val="22"/>
          <w:lang w:val="en-GB"/>
        </w:rPr>
      </w:pPr>
      <w:r w:rsidRPr="000B429E">
        <w:rPr>
          <w:rStyle w:val="tlid-translation"/>
          <w:rFonts w:ascii="Arial" w:hAnsi="Arial" w:cs="Arial"/>
          <w:sz w:val="22"/>
          <w:szCs w:val="22"/>
          <w:lang w:val="en-GB"/>
        </w:rPr>
        <w:t>ŽSR allocates capacity for location for ticketing services for a maximum of a single timetable period.</w:t>
      </w:r>
    </w:p>
    <w:p w:rsidR="000B429E" w:rsidRPr="000B429E" w:rsidRDefault="000B429E" w:rsidP="000B429E">
      <w:pPr>
        <w:jc w:val="both"/>
        <w:rPr>
          <w:rStyle w:val="tlid-translation"/>
          <w:rFonts w:ascii="Arial" w:hAnsi="Arial" w:cs="Arial"/>
          <w:sz w:val="22"/>
          <w:szCs w:val="22"/>
          <w:lang w:val="en-GB"/>
        </w:rPr>
      </w:pPr>
    </w:p>
    <w:p w:rsidR="000B429E" w:rsidRPr="000B429E" w:rsidRDefault="000B429E" w:rsidP="000B429E">
      <w:pPr>
        <w:jc w:val="both"/>
        <w:rPr>
          <w:rStyle w:val="tlid-translation"/>
          <w:rFonts w:ascii="Arial" w:hAnsi="Arial" w:cs="Arial"/>
          <w:sz w:val="22"/>
          <w:szCs w:val="22"/>
          <w:lang w:val="en-GB"/>
        </w:rPr>
      </w:pPr>
      <w:r w:rsidRPr="000B429E">
        <w:rPr>
          <w:rStyle w:val="tlid-translation"/>
          <w:rFonts w:ascii="Arial" w:hAnsi="Arial" w:cs="Arial"/>
          <w:sz w:val="22"/>
          <w:szCs w:val="22"/>
          <w:lang w:val="en-GB"/>
        </w:rPr>
        <w:t>Deadlines set for the processing of an application by the railway undertaking:</w:t>
      </w:r>
    </w:p>
    <w:p w:rsidR="000B429E" w:rsidRPr="000B429E" w:rsidRDefault="000B429E" w:rsidP="000B429E">
      <w:pPr>
        <w:ind w:left="709" w:hanging="709"/>
        <w:jc w:val="both"/>
        <w:rPr>
          <w:rStyle w:val="tlid-translation"/>
          <w:rFonts w:ascii="Arial" w:hAnsi="Arial" w:cs="Arial"/>
          <w:sz w:val="22"/>
          <w:szCs w:val="22"/>
          <w:lang w:val="en-GB"/>
        </w:rPr>
      </w:pPr>
      <w:r w:rsidRPr="000B429E">
        <w:rPr>
          <w:rStyle w:val="tlid-translation"/>
          <w:rFonts w:ascii="Arial" w:hAnsi="Arial" w:cs="Arial"/>
          <w:sz w:val="22"/>
          <w:szCs w:val="22"/>
          <w:lang w:val="en-GB"/>
        </w:rPr>
        <w:t>1.</w:t>
      </w:r>
      <w:r w:rsidRPr="000B429E">
        <w:rPr>
          <w:rStyle w:val="tlid-translation"/>
          <w:rFonts w:ascii="Arial" w:hAnsi="Arial" w:cs="Arial"/>
          <w:sz w:val="22"/>
          <w:szCs w:val="22"/>
          <w:lang w:val="en-GB"/>
        </w:rPr>
        <w:tab/>
        <w:t>submission of an application to railway undertakings no earlier than 10 months and no later than 4 months before the entry into force of the timetable,</w:t>
      </w:r>
    </w:p>
    <w:p w:rsidR="000B429E" w:rsidRPr="000B429E" w:rsidRDefault="000B429E" w:rsidP="000B429E">
      <w:pPr>
        <w:ind w:left="709" w:hanging="709"/>
        <w:jc w:val="both"/>
        <w:rPr>
          <w:rStyle w:val="tlid-translation"/>
          <w:rFonts w:ascii="Arial" w:hAnsi="Arial" w:cs="Arial"/>
          <w:sz w:val="22"/>
          <w:szCs w:val="22"/>
          <w:lang w:val="en-GB"/>
        </w:rPr>
      </w:pPr>
      <w:r w:rsidRPr="000B429E">
        <w:rPr>
          <w:rStyle w:val="tlid-translation"/>
          <w:rFonts w:ascii="Arial" w:hAnsi="Arial" w:cs="Arial"/>
          <w:sz w:val="22"/>
          <w:szCs w:val="22"/>
          <w:lang w:val="en-GB"/>
        </w:rPr>
        <w:t>2.</w:t>
      </w:r>
      <w:r w:rsidRPr="000B429E">
        <w:rPr>
          <w:rStyle w:val="tlid-translation"/>
          <w:rFonts w:ascii="Arial" w:hAnsi="Arial" w:cs="Arial"/>
          <w:sz w:val="22"/>
          <w:szCs w:val="22"/>
          <w:lang w:val="en-GB"/>
        </w:rPr>
        <w:tab/>
      </w:r>
      <w:proofErr w:type="gramStart"/>
      <w:r w:rsidRPr="000B429E">
        <w:rPr>
          <w:rStyle w:val="tlid-translation"/>
          <w:rFonts w:ascii="Arial" w:hAnsi="Arial" w:cs="Arial"/>
          <w:sz w:val="22"/>
          <w:szCs w:val="22"/>
          <w:lang w:val="en-GB"/>
        </w:rPr>
        <w:t>assessing</w:t>
      </w:r>
      <w:proofErr w:type="gramEnd"/>
      <w:r w:rsidRPr="000B429E">
        <w:rPr>
          <w:rStyle w:val="tlid-translation"/>
          <w:rFonts w:ascii="Arial" w:hAnsi="Arial" w:cs="Arial"/>
          <w:sz w:val="22"/>
          <w:szCs w:val="22"/>
          <w:lang w:val="en-GB"/>
        </w:rPr>
        <w:t xml:space="preserve"> whether the application has been duly filed and contains all required information under these Conditions of Use of the Railway Network necessary for its proper handling without undue delay, but no later than 14 calendar days after receipt of the request</w:t>
      </w:r>
    </w:p>
    <w:p w:rsidR="000B429E" w:rsidRPr="000B429E" w:rsidRDefault="000B429E" w:rsidP="000B429E">
      <w:pPr>
        <w:jc w:val="both"/>
        <w:rPr>
          <w:rStyle w:val="tlid-translation"/>
          <w:rFonts w:ascii="Arial" w:hAnsi="Arial" w:cs="Arial"/>
          <w:sz w:val="22"/>
          <w:szCs w:val="22"/>
          <w:lang w:val="en-GB"/>
        </w:rPr>
      </w:pPr>
      <w:r w:rsidRPr="000B429E">
        <w:rPr>
          <w:rStyle w:val="tlid-translation"/>
          <w:rFonts w:ascii="Arial" w:hAnsi="Arial" w:cs="Arial"/>
          <w:sz w:val="22"/>
          <w:szCs w:val="22"/>
          <w:lang w:val="en-GB"/>
        </w:rPr>
        <w:t>3.</w:t>
      </w:r>
      <w:r w:rsidRPr="000B429E">
        <w:rPr>
          <w:rStyle w:val="tlid-translation"/>
          <w:rFonts w:ascii="Arial" w:hAnsi="Arial" w:cs="Arial"/>
          <w:sz w:val="22"/>
          <w:szCs w:val="22"/>
          <w:lang w:val="en-GB"/>
        </w:rPr>
        <w:tab/>
      </w:r>
      <w:proofErr w:type="gramStart"/>
      <w:r w:rsidRPr="000B429E">
        <w:rPr>
          <w:rStyle w:val="tlid-translation"/>
          <w:rFonts w:ascii="Arial" w:hAnsi="Arial" w:cs="Arial"/>
          <w:sz w:val="22"/>
          <w:szCs w:val="22"/>
          <w:lang w:val="en-GB"/>
        </w:rPr>
        <w:t>an</w:t>
      </w:r>
      <w:proofErr w:type="gramEnd"/>
      <w:r w:rsidRPr="000B429E">
        <w:rPr>
          <w:rStyle w:val="tlid-translation"/>
          <w:rFonts w:ascii="Arial" w:hAnsi="Arial" w:cs="Arial"/>
          <w:sz w:val="22"/>
          <w:szCs w:val="22"/>
          <w:lang w:val="en-GB"/>
        </w:rPr>
        <w:t xml:space="preserve"> invitation to the railway undertaking within a maximum period of 21 calendar days from the</w:t>
      </w:r>
    </w:p>
    <w:p w:rsidR="000B429E" w:rsidRPr="000B429E" w:rsidRDefault="000B429E" w:rsidP="000B429E">
      <w:pPr>
        <w:ind w:firstLine="709"/>
        <w:jc w:val="both"/>
        <w:rPr>
          <w:rStyle w:val="tlid-translation"/>
          <w:rFonts w:ascii="Arial" w:hAnsi="Arial" w:cs="Arial"/>
          <w:sz w:val="22"/>
          <w:szCs w:val="22"/>
          <w:lang w:val="en-GB"/>
        </w:rPr>
      </w:pPr>
      <w:proofErr w:type="gramStart"/>
      <w:r w:rsidRPr="000B429E">
        <w:rPr>
          <w:rStyle w:val="tlid-translation"/>
          <w:rFonts w:ascii="Arial" w:hAnsi="Arial" w:cs="Arial"/>
          <w:sz w:val="22"/>
          <w:szCs w:val="22"/>
          <w:lang w:val="en-GB"/>
        </w:rPr>
        <w:t>receipt</w:t>
      </w:r>
      <w:proofErr w:type="gramEnd"/>
      <w:r w:rsidRPr="000B429E">
        <w:rPr>
          <w:rStyle w:val="tlid-translation"/>
          <w:rFonts w:ascii="Arial" w:hAnsi="Arial" w:cs="Arial"/>
          <w:sz w:val="22"/>
          <w:szCs w:val="22"/>
          <w:lang w:val="en-GB"/>
        </w:rPr>
        <w:t xml:space="preserve"> of the request to supplement the missing data</w:t>
      </w:r>
    </w:p>
    <w:p w:rsidR="000B429E" w:rsidRPr="000B429E" w:rsidRDefault="000B429E" w:rsidP="000B429E">
      <w:pPr>
        <w:ind w:left="709" w:hanging="709"/>
        <w:jc w:val="both"/>
        <w:rPr>
          <w:rFonts w:ascii="Arial" w:hAnsi="Arial" w:cs="Arial"/>
          <w:sz w:val="22"/>
          <w:szCs w:val="22"/>
          <w:lang w:val="en-GB"/>
        </w:rPr>
      </w:pPr>
      <w:r w:rsidRPr="000B429E">
        <w:rPr>
          <w:rStyle w:val="tlid-translation"/>
          <w:rFonts w:ascii="Arial" w:hAnsi="Arial" w:cs="Arial"/>
          <w:sz w:val="22"/>
          <w:szCs w:val="22"/>
          <w:lang w:val="en-GB"/>
        </w:rPr>
        <w:t>4.</w:t>
      </w:r>
      <w:r w:rsidRPr="000B429E">
        <w:rPr>
          <w:rStyle w:val="tlid-translation"/>
          <w:rFonts w:ascii="Arial" w:hAnsi="Arial" w:cs="Arial"/>
          <w:sz w:val="22"/>
          <w:szCs w:val="22"/>
          <w:lang w:val="en-GB"/>
        </w:rPr>
        <w:tab/>
      </w:r>
      <w:proofErr w:type="gramStart"/>
      <w:r w:rsidRPr="000B429E">
        <w:rPr>
          <w:rStyle w:val="tlid-translation"/>
          <w:rFonts w:ascii="Arial" w:hAnsi="Arial" w:cs="Arial"/>
          <w:sz w:val="22"/>
          <w:szCs w:val="22"/>
          <w:lang w:val="en-GB"/>
        </w:rPr>
        <w:t>sending</w:t>
      </w:r>
      <w:proofErr w:type="gramEnd"/>
      <w:r w:rsidRPr="000B429E">
        <w:rPr>
          <w:rStyle w:val="tlid-translation"/>
          <w:rFonts w:ascii="Arial" w:hAnsi="Arial" w:cs="Arial"/>
          <w:sz w:val="22"/>
          <w:szCs w:val="22"/>
          <w:lang w:val="en-GB"/>
        </w:rPr>
        <w:t xml:space="preserve"> missing data no later than 7 calendar days after receipt of the call; if the applicant fails to submit this information within the stipulated deadline, ŽSR shall refuse the application in this case</w:t>
      </w:r>
    </w:p>
    <w:p w:rsidR="000B429E" w:rsidRPr="000B429E" w:rsidRDefault="000B429E" w:rsidP="000B429E">
      <w:pPr>
        <w:ind w:left="709" w:hanging="709"/>
        <w:jc w:val="both"/>
        <w:rPr>
          <w:rStyle w:val="tlid-translation"/>
          <w:rFonts w:ascii="Arial" w:hAnsi="Arial" w:cs="Arial"/>
          <w:sz w:val="22"/>
          <w:szCs w:val="22"/>
          <w:lang w:val="en-GB"/>
        </w:rPr>
      </w:pPr>
      <w:r w:rsidRPr="000B429E">
        <w:rPr>
          <w:rStyle w:val="tlid-translation"/>
          <w:rFonts w:ascii="Arial" w:hAnsi="Arial" w:cs="Arial"/>
          <w:sz w:val="22"/>
          <w:szCs w:val="22"/>
          <w:lang w:val="en-GB"/>
        </w:rPr>
        <w:lastRenderedPageBreak/>
        <w:t xml:space="preserve">5. </w:t>
      </w:r>
      <w:r w:rsidRPr="000B429E">
        <w:rPr>
          <w:rStyle w:val="tlid-translation"/>
          <w:rFonts w:ascii="Arial" w:hAnsi="Arial" w:cs="Arial"/>
          <w:sz w:val="22"/>
          <w:szCs w:val="22"/>
          <w:lang w:val="en-GB"/>
        </w:rPr>
        <w:tab/>
      </w:r>
      <w:proofErr w:type="gramStart"/>
      <w:r w:rsidRPr="000B429E">
        <w:rPr>
          <w:rStyle w:val="tlid-translation"/>
          <w:rFonts w:ascii="Arial" w:hAnsi="Arial" w:cs="Arial"/>
          <w:sz w:val="22"/>
          <w:szCs w:val="22"/>
          <w:lang w:val="en-GB"/>
        </w:rPr>
        <w:t>evaluating</w:t>
      </w:r>
      <w:proofErr w:type="gramEnd"/>
      <w:r w:rsidRPr="000B429E">
        <w:rPr>
          <w:rStyle w:val="tlid-translation"/>
          <w:rFonts w:ascii="Arial" w:hAnsi="Arial" w:cs="Arial"/>
          <w:sz w:val="22"/>
          <w:szCs w:val="22"/>
          <w:lang w:val="en-GB"/>
        </w:rPr>
        <w:t xml:space="preserve"> the application and sending a notification to the railway undertaking on the evaluation of the application no later than 60 days prior to the entry into force of the timetable.</w:t>
      </w:r>
    </w:p>
    <w:p w:rsidR="000B429E" w:rsidRPr="000B429E" w:rsidRDefault="000B429E" w:rsidP="000B429E">
      <w:pPr>
        <w:jc w:val="both"/>
        <w:rPr>
          <w:rStyle w:val="tlid-translation"/>
          <w:rFonts w:ascii="Arial" w:hAnsi="Arial" w:cs="Arial"/>
          <w:sz w:val="22"/>
          <w:szCs w:val="22"/>
          <w:lang w:val="en-GB"/>
        </w:rPr>
      </w:pPr>
    </w:p>
    <w:p w:rsidR="000B429E" w:rsidRPr="000B429E" w:rsidRDefault="000B429E" w:rsidP="000B429E">
      <w:pPr>
        <w:jc w:val="both"/>
        <w:rPr>
          <w:rStyle w:val="tlid-translation"/>
          <w:rFonts w:ascii="Arial" w:hAnsi="Arial" w:cs="Arial"/>
          <w:sz w:val="22"/>
          <w:szCs w:val="22"/>
          <w:lang w:val="en-GB"/>
        </w:rPr>
      </w:pPr>
      <w:r w:rsidRPr="000B429E">
        <w:rPr>
          <w:rStyle w:val="tlid-translation"/>
          <w:rFonts w:ascii="Arial" w:hAnsi="Arial" w:cs="Arial"/>
          <w:sz w:val="22"/>
          <w:szCs w:val="22"/>
          <w:lang w:val="en-GB"/>
        </w:rPr>
        <w:t>In case of positive acceptance of the request, ŽSR railway companies will enter into a contract for the use of location for ticketing services (hereinafter referred to as the "Contract"), an integral part of which will be an annex with the list of allocated location for ticketing services capacity for the relevant timetable duration. The right of access to railway infrastructure and services related to rail transport is not transferable to other applicants.</w:t>
      </w:r>
    </w:p>
    <w:p w:rsidR="000B429E" w:rsidRPr="000B429E" w:rsidRDefault="000B429E" w:rsidP="000B429E">
      <w:pPr>
        <w:jc w:val="both"/>
        <w:rPr>
          <w:rStyle w:val="tlid-translation"/>
          <w:rFonts w:ascii="Arial" w:hAnsi="Arial" w:cs="Arial"/>
          <w:sz w:val="22"/>
          <w:szCs w:val="22"/>
          <w:lang w:val="en-GB"/>
        </w:rPr>
      </w:pPr>
      <w:r w:rsidRPr="000B429E">
        <w:rPr>
          <w:rStyle w:val="tlid-translation"/>
          <w:rFonts w:ascii="Arial" w:hAnsi="Arial" w:cs="Arial"/>
          <w:sz w:val="22"/>
          <w:szCs w:val="22"/>
          <w:lang w:val="en-GB"/>
        </w:rPr>
        <w:t xml:space="preserve">If the applicant does not intend to avail himself of the right to access the railway service </w:t>
      </w:r>
      <w:proofErr w:type="spellStart"/>
      <w:r w:rsidRPr="000B429E">
        <w:rPr>
          <w:rStyle w:val="tlid-translation"/>
          <w:rFonts w:ascii="Arial" w:hAnsi="Arial" w:cs="Arial"/>
          <w:sz w:val="22"/>
          <w:szCs w:val="22"/>
          <w:lang w:val="en-GB"/>
        </w:rPr>
        <w:t>service</w:t>
      </w:r>
      <w:proofErr w:type="spellEnd"/>
      <w:r w:rsidRPr="000B429E">
        <w:rPr>
          <w:rStyle w:val="tlid-translation"/>
          <w:rFonts w:ascii="Arial" w:hAnsi="Arial" w:cs="Arial"/>
          <w:sz w:val="22"/>
          <w:szCs w:val="22"/>
          <w:lang w:val="en-GB"/>
        </w:rPr>
        <w:t xml:space="preserve">                   or service assigned to the ŽSR, he shall inform the ŽSR without undue delay.</w:t>
      </w:r>
    </w:p>
    <w:p w:rsidR="000B429E" w:rsidRPr="000B429E" w:rsidRDefault="000B429E" w:rsidP="000B429E">
      <w:pPr>
        <w:jc w:val="both"/>
        <w:rPr>
          <w:rStyle w:val="tlid-translation"/>
          <w:rFonts w:ascii="Arial" w:hAnsi="Arial" w:cs="Arial"/>
          <w:sz w:val="22"/>
          <w:szCs w:val="22"/>
          <w:lang w:val="en-GB"/>
        </w:rPr>
      </w:pPr>
      <w:r w:rsidRPr="000B429E">
        <w:rPr>
          <w:rFonts w:ascii="Arial" w:hAnsi="Arial" w:cs="Arial"/>
          <w:sz w:val="22"/>
          <w:szCs w:val="22"/>
          <w:lang w:val="en-GB"/>
        </w:rPr>
        <w:br/>
      </w:r>
      <w:r w:rsidRPr="000B429E">
        <w:rPr>
          <w:rStyle w:val="tlid-translation"/>
          <w:rFonts w:ascii="Arial" w:hAnsi="Arial" w:cs="Arial"/>
          <w:sz w:val="22"/>
          <w:szCs w:val="22"/>
          <w:lang w:val="en-GB"/>
        </w:rPr>
        <w:t xml:space="preserve">Upon an "ad hoc" request or a delayed request of the railway undertaking, the ŽSR shall respond without undue delay, but no later than within </w:t>
      </w:r>
      <w:proofErr w:type="gramStart"/>
      <w:r w:rsidRPr="000B429E">
        <w:rPr>
          <w:rStyle w:val="tlid-translation"/>
          <w:rFonts w:ascii="Arial" w:hAnsi="Arial" w:cs="Arial"/>
          <w:sz w:val="22"/>
          <w:szCs w:val="22"/>
          <w:lang w:val="en-GB"/>
        </w:rPr>
        <w:t>5</w:t>
      </w:r>
      <w:proofErr w:type="gramEnd"/>
      <w:r w:rsidRPr="000B429E">
        <w:rPr>
          <w:rStyle w:val="tlid-translation"/>
          <w:rFonts w:ascii="Arial" w:hAnsi="Arial" w:cs="Arial"/>
          <w:sz w:val="22"/>
          <w:szCs w:val="22"/>
          <w:lang w:val="en-GB"/>
        </w:rPr>
        <w:t xml:space="preserve"> business days of its delivery. The deadlines set out in points (2) to (4) shall also be applied appropriately to an "ad hoc" application and a delayed application which the ŽSR will evaluate and send a notification of its evaluation to the railway undertaking no later than 30 calendar days after the receipt of the "ad hoc" .</w:t>
      </w:r>
    </w:p>
    <w:p w:rsidR="000B429E" w:rsidRPr="000B429E" w:rsidRDefault="000B429E" w:rsidP="000B429E">
      <w:pPr>
        <w:jc w:val="both"/>
        <w:rPr>
          <w:rStyle w:val="tlid-translation"/>
          <w:rFonts w:ascii="Arial" w:hAnsi="Arial" w:cs="Arial"/>
          <w:sz w:val="22"/>
          <w:szCs w:val="22"/>
          <w:lang w:val="en-GB"/>
        </w:rPr>
      </w:pPr>
      <w:r w:rsidRPr="000B429E">
        <w:rPr>
          <w:rStyle w:val="tlid-translation"/>
          <w:rFonts w:ascii="Arial" w:hAnsi="Arial" w:cs="Arial"/>
          <w:sz w:val="22"/>
          <w:szCs w:val="22"/>
          <w:lang w:val="en-GB"/>
        </w:rPr>
        <w:t>In order to maintain the abovementioned deadlines, it is sufficient to send the shipment for postal delivery or to perform the e-mail operation on the last day of the deadline.</w:t>
      </w:r>
    </w:p>
    <w:p w:rsidR="000B429E" w:rsidRPr="000B429E" w:rsidRDefault="000B429E" w:rsidP="000B429E">
      <w:pPr>
        <w:ind w:left="851"/>
        <w:jc w:val="both"/>
        <w:rPr>
          <w:rStyle w:val="tlid-translation"/>
          <w:rFonts w:ascii="Arial" w:hAnsi="Arial" w:cs="Arial"/>
          <w:sz w:val="22"/>
          <w:szCs w:val="22"/>
          <w:u w:val="single"/>
          <w:lang w:val="en-GB"/>
        </w:rPr>
      </w:pPr>
    </w:p>
    <w:p w:rsidR="000B429E" w:rsidRPr="000B429E" w:rsidRDefault="000B429E" w:rsidP="000B429E">
      <w:pPr>
        <w:ind w:left="851"/>
        <w:jc w:val="both"/>
        <w:rPr>
          <w:rStyle w:val="tlid-translation"/>
          <w:rFonts w:ascii="Arial" w:hAnsi="Arial" w:cs="Arial"/>
          <w:b/>
          <w:sz w:val="22"/>
          <w:szCs w:val="22"/>
          <w:u w:val="single"/>
          <w:lang w:val="en-GB"/>
        </w:rPr>
      </w:pPr>
      <w:r w:rsidRPr="000B429E">
        <w:rPr>
          <w:rStyle w:val="tlid-translation"/>
          <w:rFonts w:ascii="Arial" w:hAnsi="Arial" w:cs="Arial"/>
          <w:b/>
          <w:sz w:val="22"/>
          <w:szCs w:val="22"/>
          <w:u w:val="single"/>
          <w:lang w:val="en-GB"/>
        </w:rPr>
        <w:t>Coordination process</w:t>
      </w:r>
    </w:p>
    <w:p w:rsidR="000B429E" w:rsidRPr="000B429E" w:rsidRDefault="000B429E" w:rsidP="000B429E">
      <w:pPr>
        <w:jc w:val="both"/>
        <w:rPr>
          <w:rStyle w:val="tlid-translation"/>
          <w:rFonts w:ascii="Arial" w:hAnsi="Arial" w:cs="Arial"/>
          <w:sz w:val="22"/>
          <w:szCs w:val="22"/>
          <w:lang w:val="en-GB"/>
        </w:rPr>
      </w:pPr>
      <w:r w:rsidRPr="000B429E">
        <w:rPr>
          <w:rFonts w:ascii="Arial" w:hAnsi="Arial" w:cs="Arial"/>
          <w:sz w:val="22"/>
          <w:szCs w:val="22"/>
          <w:lang w:val="en-GB"/>
        </w:rPr>
        <w:br/>
      </w:r>
      <w:r w:rsidRPr="000B429E">
        <w:rPr>
          <w:rStyle w:val="tlid-translation"/>
          <w:rFonts w:ascii="Arial" w:hAnsi="Arial" w:cs="Arial"/>
          <w:sz w:val="22"/>
          <w:szCs w:val="22"/>
          <w:lang w:val="en-GB"/>
        </w:rPr>
        <w:t xml:space="preserve">If ŽSR receives a request for capacity allocation of location for ticketing services </w:t>
      </w:r>
      <w:proofErr w:type="gramStart"/>
      <w:r w:rsidRPr="000B429E">
        <w:rPr>
          <w:rStyle w:val="tlid-translation"/>
          <w:rFonts w:ascii="Arial" w:hAnsi="Arial" w:cs="Arial"/>
          <w:sz w:val="22"/>
          <w:szCs w:val="22"/>
          <w:lang w:val="en-GB"/>
        </w:rPr>
        <w:t>that conflicts</w:t>
      </w:r>
      <w:proofErr w:type="gramEnd"/>
      <w:r w:rsidRPr="000B429E">
        <w:rPr>
          <w:rStyle w:val="tlid-translation"/>
          <w:rFonts w:ascii="Arial" w:hAnsi="Arial" w:cs="Arial"/>
          <w:sz w:val="22"/>
          <w:szCs w:val="22"/>
          <w:lang w:val="en-GB"/>
        </w:rPr>
        <w:t xml:space="preserve"> with another application or relates to the already allocated location for ticketing services capacity, they will initiate, as appropriate, a process of coordination with the affected applicants in order to ensure that all applications are matched. Within the framework of the co-ordination process, the ŽSR and the applicants have the right to invite the regulator as an observer. If even after the coordination procedure it is not possible to comply with all requests for access to the location for ticketing services, the ŽSR </w:t>
      </w:r>
      <w:proofErr w:type="gramStart"/>
      <w:r w:rsidRPr="000B429E">
        <w:rPr>
          <w:rStyle w:val="tlid-translation"/>
          <w:rFonts w:ascii="Arial" w:hAnsi="Arial" w:cs="Arial"/>
          <w:sz w:val="22"/>
          <w:szCs w:val="22"/>
          <w:lang w:val="en-GB"/>
        </w:rPr>
        <w:t>shall without undue delay inform</w:t>
      </w:r>
      <w:proofErr w:type="gramEnd"/>
      <w:r w:rsidRPr="000B429E">
        <w:rPr>
          <w:rStyle w:val="tlid-translation"/>
          <w:rFonts w:ascii="Arial" w:hAnsi="Arial" w:cs="Arial"/>
          <w:sz w:val="22"/>
          <w:szCs w:val="22"/>
          <w:lang w:val="en-GB"/>
        </w:rPr>
        <w:t xml:space="preserve"> the applicant concerned. The ŽSR, in cooperation with the applicants concerned, will assess real alternatives pursuant to Article 12 of Commission Implementing Regulation (EU) 2017/2177 of 22 November 2017.</w:t>
      </w:r>
    </w:p>
    <w:p w:rsidR="000B429E" w:rsidRPr="000B429E" w:rsidRDefault="000B429E" w:rsidP="000B429E">
      <w:pPr>
        <w:jc w:val="both"/>
        <w:rPr>
          <w:rStyle w:val="tlid-translation"/>
          <w:rFonts w:ascii="Arial" w:hAnsi="Arial" w:cs="Arial"/>
          <w:sz w:val="22"/>
          <w:szCs w:val="22"/>
          <w:lang w:val="en-GB"/>
        </w:rPr>
      </w:pPr>
      <w:r w:rsidRPr="000B429E">
        <w:rPr>
          <w:rFonts w:ascii="Arial" w:hAnsi="Arial" w:cs="Arial"/>
          <w:sz w:val="22"/>
          <w:szCs w:val="22"/>
          <w:lang w:val="en-GB"/>
        </w:rPr>
        <w:br/>
      </w:r>
      <w:r w:rsidRPr="000B429E">
        <w:rPr>
          <w:rStyle w:val="tlid-translation"/>
          <w:rFonts w:ascii="Arial" w:hAnsi="Arial" w:cs="Arial"/>
          <w:sz w:val="22"/>
          <w:szCs w:val="22"/>
          <w:lang w:val="en-GB"/>
        </w:rPr>
        <w:t xml:space="preserve">In the event that it is not possible to satisfy all the applicable requirements of the applicants, ŽSR shall be entitled </w:t>
      </w:r>
      <w:proofErr w:type="gramStart"/>
      <w:r w:rsidRPr="000B429E">
        <w:rPr>
          <w:rStyle w:val="tlid-translation"/>
          <w:rFonts w:ascii="Arial" w:hAnsi="Arial" w:cs="Arial"/>
          <w:sz w:val="22"/>
          <w:szCs w:val="22"/>
          <w:lang w:val="en-GB"/>
        </w:rPr>
        <w:t>to preferentially allocate</w:t>
      </w:r>
      <w:proofErr w:type="gramEnd"/>
      <w:r w:rsidRPr="000B429E">
        <w:rPr>
          <w:rStyle w:val="tlid-translation"/>
          <w:rFonts w:ascii="Arial" w:hAnsi="Arial" w:cs="Arial"/>
          <w:sz w:val="22"/>
          <w:szCs w:val="22"/>
          <w:lang w:val="en-GB"/>
        </w:rPr>
        <w:t xml:space="preserve"> capacity to an applicant who:</w:t>
      </w:r>
    </w:p>
    <w:p w:rsidR="000B429E" w:rsidRPr="000B429E" w:rsidRDefault="000B429E" w:rsidP="000B429E">
      <w:pPr>
        <w:numPr>
          <w:ilvl w:val="0"/>
          <w:numId w:val="3"/>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 xml:space="preserve">Provides regular passenger services at the traffic point </w:t>
      </w:r>
      <w:proofErr w:type="gramStart"/>
      <w:r w:rsidRPr="000B429E">
        <w:rPr>
          <w:rStyle w:val="tlid-translation"/>
          <w:rFonts w:ascii="Arial" w:hAnsi="Arial" w:cs="Arial"/>
          <w:sz w:val="22"/>
          <w:szCs w:val="22"/>
          <w:lang w:val="en-GB"/>
        </w:rPr>
        <w:t>on the basis of</w:t>
      </w:r>
      <w:proofErr w:type="gramEnd"/>
      <w:r w:rsidRPr="000B429E">
        <w:rPr>
          <w:rStyle w:val="tlid-translation"/>
          <w:rFonts w:ascii="Arial" w:hAnsi="Arial" w:cs="Arial"/>
          <w:sz w:val="22"/>
          <w:szCs w:val="22"/>
          <w:lang w:val="en-GB"/>
        </w:rPr>
        <w:t xml:space="preserve"> the allocation of train paths, i.e. account shall be taken of the planned number of trains of the applicant stopping at the traffic point. At traffic points with a greater number of locations for ticketing services offered, the capacity is allocated proportionally to the allocated capacity of train paths,</w:t>
      </w:r>
    </w:p>
    <w:p w:rsidR="000B429E" w:rsidRPr="000B429E" w:rsidRDefault="000B429E" w:rsidP="000B429E">
      <w:pPr>
        <w:numPr>
          <w:ilvl w:val="0"/>
          <w:numId w:val="3"/>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at the time of submission of the application, has already concluded a contract for the use of locations for ticketing services,</w:t>
      </w:r>
    </w:p>
    <w:p w:rsidR="000B429E" w:rsidRPr="000B429E" w:rsidRDefault="000B429E" w:rsidP="000B429E">
      <w:pPr>
        <w:numPr>
          <w:ilvl w:val="0"/>
          <w:numId w:val="3"/>
        </w:numPr>
        <w:jc w:val="both"/>
        <w:rPr>
          <w:rStyle w:val="tlid-translation"/>
          <w:rFonts w:ascii="Arial" w:hAnsi="Arial" w:cs="Arial"/>
          <w:sz w:val="22"/>
          <w:szCs w:val="22"/>
          <w:lang w:val="en-GB"/>
        </w:rPr>
      </w:pPr>
      <w:r w:rsidRPr="000B429E">
        <w:rPr>
          <w:rStyle w:val="tlid-translation"/>
          <w:rFonts w:ascii="Arial" w:hAnsi="Arial" w:cs="Arial"/>
          <w:sz w:val="22"/>
          <w:szCs w:val="22"/>
          <w:lang w:val="en-GB"/>
        </w:rPr>
        <w:t>at the time of submission of the application, a public-service contract having as its subject the provision of transport services at the traffic points in which the RU requests the capacity allocation of locations for ticketing services,</w:t>
      </w:r>
    </w:p>
    <w:p w:rsidR="000B429E" w:rsidRPr="000B429E" w:rsidRDefault="000B429E" w:rsidP="000B429E">
      <w:pPr>
        <w:numPr>
          <w:ilvl w:val="0"/>
          <w:numId w:val="3"/>
        </w:numPr>
        <w:jc w:val="both"/>
        <w:rPr>
          <w:rStyle w:val="tlid-translation"/>
          <w:rFonts w:ascii="Arial" w:hAnsi="Arial" w:cs="Arial"/>
          <w:sz w:val="22"/>
          <w:szCs w:val="22"/>
          <w:lang w:val="en-GB"/>
        </w:rPr>
      </w:pPr>
      <w:proofErr w:type="gramStart"/>
      <w:r w:rsidRPr="000B429E">
        <w:rPr>
          <w:rStyle w:val="tlid-translation"/>
          <w:rFonts w:ascii="Arial" w:hAnsi="Arial" w:cs="Arial"/>
          <w:sz w:val="22"/>
          <w:szCs w:val="22"/>
          <w:lang w:val="en-GB"/>
        </w:rPr>
        <w:t>has</w:t>
      </w:r>
      <w:proofErr w:type="gramEnd"/>
      <w:r w:rsidRPr="000B429E">
        <w:rPr>
          <w:rStyle w:val="tlid-translation"/>
          <w:rFonts w:ascii="Arial" w:hAnsi="Arial" w:cs="Arial"/>
          <w:sz w:val="22"/>
          <w:szCs w:val="22"/>
          <w:lang w:val="en-GB"/>
        </w:rPr>
        <w:t xml:space="preserve"> first submitted a request for capacity allocation.</w:t>
      </w:r>
    </w:p>
    <w:p w:rsidR="000B429E" w:rsidRPr="000B429E" w:rsidRDefault="000B429E" w:rsidP="000B429E">
      <w:pPr>
        <w:jc w:val="both"/>
        <w:rPr>
          <w:rStyle w:val="tlid-translation"/>
          <w:rFonts w:ascii="Arial" w:hAnsi="Arial" w:cs="Arial"/>
          <w:sz w:val="22"/>
          <w:szCs w:val="22"/>
          <w:lang w:val="en-GB"/>
        </w:rPr>
      </w:pPr>
      <w:r w:rsidRPr="000B429E">
        <w:rPr>
          <w:rFonts w:ascii="Arial" w:hAnsi="Arial" w:cs="Arial"/>
          <w:sz w:val="22"/>
          <w:szCs w:val="22"/>
          <w:lang w:val="en-GB"/>
        </w:rPr>
        <w:br/>
      </w:r>
      <w:r w:rsidRPr="000B429E">
        <w:rPr>
          <w:rStyle w:val="tlid-translation"/>
          <w:rFonts w:ascii="Arial" w:hAnsi="Arial" w:cs="Arial"/>
          <w:sz w:val="22"/>
          <w:szCs w:val="22"/>
          <w:lang w:val="en-GB"/>
        </w:rPr>
        <w:t xml:space="preserve">If ŽSR and the applicant conclude that there are no real alternatives and the applications for capacity allocation of locations for ticketing services </w:t>
      </w:r>
      <w:proofErr w:type="gramStart"/>
      <w:r w:rsidRPr="000B429E">
        <w:rPr>
          <w:rStyle w:val="tlid-translation"/>
          <w:rFonts w:ascii="Arial" w:hAnsi="Arial" w:cs="Arial"/>
          <w:sz w:val="22"/>
          <w:szCs w:val="22"/>
          <w:lang w:val="en-GB"/>
        </w:rPr>
        <w:t>cannot be met</w:t>
      </w:r>
      <w:proofErr w:type="gramEnd"/>
      <w:r w:rsidRPr="000B429E">
        <w:rPr>
          <w:rStyle w:val="tlid-translation"/>
          <w:rFonts w:ascii="Arial" w:hAnsi="Arial" w:cs="Arial"/>
          <w:sz w:val="22"/>
          <w:szCs w:val="22"/>
          <w:lang w:val="en-GB"/>
        </w:rPr>
        <w:t xml:space="preserve"> after the co-ordination process, ŽSR may reject the request.</w:t>
      </w:r>
      <w:r w:rsidRPr="000B429E">
        <w:rPr>
          <w:rFonts w:ascii="Arial" w:hAnsi="Arial" w:cs="Arial"/>
          <w:sz w:val="22"/>
          <w:szCs w:val="22"/>
          <w:lang w:val="en-GB"/>
        </w:rPr>
        <w:t xml:space="preserve"> </w:t>
      </w:r>
      <w:r w:rsidRPr="000B429E">
        <w:rPr>
          <w:rStyle w:val="tlid-translation"/>
          <w:rFonts w:ascii="Arial" w:hAnsi="Arial" w:cs="Arial"/>
          <w:sz w:val="22"/>
          <w:szCs w:val="22"/>
          <w:lang w:val="en-GB"/>
        </w:rPr>
        <w:t>ŽSR may also reject the application for other reasons stated in the legislation.</w:t>
      </w:r>
    </w:p>
    <w:p w:rsidR="000B429E" w:rsidRPr="000B429E" w:rsidRDefault="000B429E" w:rsidP="000B429E">
      <w:pPr>
        <w:jc w:val="both"/>
        <w:rPr>
          <w:rStyle w:val="tlid-translation"/>
          <w:rFonts w:ascii="Arial" w:hAnsi="Arial" w:cs="Arial"/>
          <w:sz w:val="22"/>
          <w:szCs w:val="22"/>
          <w:highlight w:val="green"/>
          <w:lang w:val="en-GB"/>
        </w:rPr>
      </w:pPr>
      <w:r w:rsidRPr="000B429E">
        <w:rPr>
          <w:rStyle w:val="tlid-translation"/>
          <w:rFonts w:ascii="Arial" w:hAnsi="Arial" w:cs="Arial"/>
          <w:sz w:val="22"/>
          <w:szCs w:val="22"/>
          <w:lang w:val="en-GB"/>
        </w:rPr>
        <w:t>Within the framework of the coordination process, ŽSR and the applicants have the right to invite the regulatory body as an observer.</w:t>
      </w:r>
    </w:p>
    <w:p w:rsidR="000B429E" w:rsidRPr="000B429E" w:rsidRDefault="000B429E">
      <w:pPr>
        <w:rPr>
          <w:rFonts w:ascii="Arial" w:hAnsi="Arial" w:cs="Arial"/>
          <w:sz w:val="22"/>
          <w:szCs w:val="22"/>
        </w:rPr>
      </w:pPr>
    </w:p>
    <w:sectPr w:rsidR="000B429E" w:rsidRPr="000B4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27B60"/>
    <w:multiLevelType w:val="hybridMultilevel"/>
    <w:tmpl w:val="C5C8310C"/>
    <w:lvl w:ilvl="0" w:tplc="B8284F8C">
      <w:start w:val="1"/>
      <w:numFmt w:val="decimal"/>
      <w:lvlText w:val="7.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92503EC"/>
    <w:multiLevelType w:val="hybridMultilevel"/>
    <w:tmpl w:val="3366222E"/>
    <w:lvl w:ilvl="0" w:tplc="C2D0434A">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72D415E"/>
    <w:multiLevelType w:val="hybridMultilevel"/>
    <w:tmpl w:val="D56044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E507345"/>
    <w:multiLevelType w:val="hybridMultilevel"/>
    <w:tmpl w:val="CD688586"/>
    <w:lvl w:ilvl="0" w:tplc="C2D0434A">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1BC0E51"/>
    <w:multiLevelType w:val="hybridMultilevel"/>
    <w:tmpl w:val="EB9C4010"/>
    <w:lvl w:ilvl="0" w:tplc="C2D0434A">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9E"/>
    <w:rsid w:val="000B429E"/>
    <w:rsid w:val="00647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A4D3"/>
  <w15:chartTrackingRefBased/>
  <w15:docId w15:val="{09B0DC65-DC74-4D9F-ADE9-80B4EF18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B429E"/>
    <w:pPr>
      <w:spacing w:after="0" w:line="240" w:lineRule="auto"/>
    </w:pPr>
    <w:rPr>
      <w:rFonts w:ascii="Times New Roman" w:eastAsia="Times New Roman" w:hAnsi="Times New Roman" w:cs="Times New Roman"/>
      <w:sz w:val="24"/>
      <w:szCs w:val="24"/>
      <w:lang w:val="cs-CZ" w:eastAsia="cs-CZ"/>
    </w:rPr>
  </w:style>
  <w:style w:type="paragraph" w:styleId="Nadpis4">
    <w:name w:val="heading 4"/>
    <w:basedOn w:val="Normlny"/>
    <w:next w:val="Normlny"/>
    <w:link w:val="Nadpis4Char"/>
    <w:qFormat/>
    <w:rsid w:val="000B429E"/>
    <w:pPr>
      <w:keepNext/>
      <w:jc w:val="center"/>
      <w:outlineLvl w:val="3"/>
    </w:pPr>
    <w:rPr>
      <w:rFonts w:ascii="Arial" w:hAnsi="Arial"/>
      <w:outline/>
      <w:sz w:val="22"/>
      <w:lang w:val="sk-SK"/>
      <w14:textOutline w14:w="9525" w14:cap="flat" w14:cmpd="sng" w14:algn="ctr">
        <w14:noFill/>
        <w14:prstDash w14:val="solid"/>
        <w14:round/>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0B429E"/>
    <w:rPr>
      <w:rFonts w:ascii="Arial" w:eastAsia="Times New Roman" w:hAnsi="Arial" w:cs="Times New Roman"/>
      <w:outline/>
      <w:szCs w:val="24"/>
      <w:lang w:eastAsia="cs-CZ"/>
      <w14:textOutline w14:w="9525" w14:cap="flat" w14:cmpd="sng" w14:algn="ctr">
        <w14:noFill/>
        <w14:prstDash w14:val="solid"/>
        <w14:round/>
      </w14:textOutline>
    </w:rPr>
  </w:style>
  <w:style w:type="character" w:styleId="Hypertextovprepojenie">
    <w:name w:val="Hyperlink"/>
    <w:uiPriority w:val="99"/>
    <w:rsid w:val="000B429E"/>
    <w:rPr>
      <w:color w:val="0000FF"/>
      <w:u w:val="single"/>
    </w:rPr>
  </w:style>
  <w:style w:type="character" w:customStyle="1" w:styleId="tlid-translation">
    <w:name w:val="tlid-translation"/>
    <w:rsid w:val="000B429E"/>
  </w:style>
  <w:style w:type="character" w:customStyle="1" w:styleId="longtext">
    <w:name w:val="long_text"/>
    <w:basedOn w:val="Predvolenpsmoodseku"/>
    <w:rsid w:val="000B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BA@z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1445</Words>
  <Characters>8242</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Zuber Miroslav</dc:creator>
  <cp:keywords/>
  <dc:description/>
  <cp:lastModifiedBy>Zuber Miroslav</cp:lastModifiedBy>
  <cp:revision>1</cp:revision>
  <dcterms:created xsi:type="dcterms:W3CDTF">2021-12-23T13:06:00Z</dcterms:created>
  <dcterms:modified xsi:type="dcterms:W3CDTF">2021-12-23T13:13:00Z</dcterms:modified>
</cp:coreProperties>
</file>