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A5C" w:rsidRPr="009F7333" w:rsidRDefault="00DB1A5C" w:rsidP="00DB1A5C">
      <w:pPr>
        <w:ind w:firstLine="709"/>
        <w:jc w:val="both"/>
        <w:outlineLvl w:val="2"/>
        <w:rPr>
          <w:rFonts w:ascii="Arial" w:hAnsi="Arial" w:cs="Arial"/>
          <w:b/>
          <w:u w:val="single"/>
        </w:rPr>
      </w:pPr>
      <w:bookmarkStart w:id="0" w:name="_Toc23061881"/>
      <w:bookmarkStart w:id="1" w:name="_Toc53261892"/>
      <w:bookmarkStart w:id="2" w:name="_Toc54213120"/>
      <w:bookmarkStart w:id="3" w:name="_Toc54476405"/>
      <w:bookmarkStart w:id="4" w:name="_Toc86749869"/>
      <w:bookmarkStart w:id="5" w:name="_Toc86831952"/>
      <w:r w:rsidRPr="009F7333">
        <w:rPr>
          <w:rFonts w:ascii="Arial" w:hAnsi="Arial" w:cs="Arial"/>
          <w:b/>
          <w:u w:val="single"/>
        </w:rPr>
        <w:t>Miesta na predaj prepravných dokladov</w:t>
      </w:r>
      <w:bookmarkEnd w:id="0"/>
      <w:bookmarkEnd w:id="1"/>
      <w:bookmarkEnd w:id="2"/>
      <w:bookmarkEnd w:id="3"/>
      <w:bookmarkEnd w:id="4"/>
      <w:bookmarkEnd w:id="5"/>
    </w:p>
    <w:p w:rsidR="00DB1A5C" w:rsidRPr="009F7333" w:rsidRDefault="00DB1A5C" w:rsidP="00DB1A5C">
      <w:pPr>
        <w:jc w:val="both"/>
        <w:outlineLvl w:val="2"/>
        <w:rPr>
          <w:rFonts w:ascii="Arial" w:hAnsi="Arial" w:cs="Arial"/>
        </w:rPr>
      </w:pPr>
      <w:bookmarkStart w:id="6" w:name="_Toc532905081"/>
      <w:bookmarkStart w:id="7" w:name="_Toc22762703"/>
      <w:bookmarkStart w:id="8" w:name="_Toc23061882"/>
      <w:bookmarkStart w:id="9" w:name="_Toc53261893"/>
      <w:bookmarkStart w:id="10" w:name="_Toc54213121"/>
      <w:bookmarkStart w:id="11" w:name="_Toc54476406"/>
      <w:bookmarkStart w:id="12" w:name="_Toc86749870"/>
      <w:bookmarkStart w:id="13" w:name="_Toc86831953"/>
      <w:r w:rsidRPr="009F7333">
        <w:rPr>
          <w:rFonts w:ascii="Arial" w:hAnsi="Arial" w:cs="Arial"/>
        </w:rPr>
        <w:t>Za poskytovanie služieb prístupu k miestam na predaj prepravných dokladov (ďalej len „MPPD“) sa považuje prenájom vhodných disponibilných nebytových priestorov na účely predaja a výdaja prepravných dokladov počas trvania platnosti jedného GVD, a to:</w:t>
      </w:r>
      <w:bookmarkEnd w:id="6"/>
      <w:bookmarkEnd w:id="7"/>
      <w:bookmarkEnd w:id="8"/>
      <w:bookmarkEnd w:id="9"/>
      <w:bookmarkEnd w:id="10"/>
      <w:bookmarkEnd w:id="11"/>
      <w:bookmarkEnd w:id="12"/>
      <w:bookmarkEnd w:id="13"/>
    </w:p>
    <w:p w:rsidR="00DB1A5C" w:rsidRPr="009F7333" w:rsidRDefault="00DB1A5C" w:rsidP="00DB1A5C">
      <w:pPr>
        <w:ind w:left="567" w:hanging="283"/>
        <w:jc w:val="both"/>
        <w:outlineLvl w:val="2"/>
        <w:rPr>
          <w:rFonts w:ascii="Arial" w:hAnsi="Arial" w:cs="Arial"/>
        </w:rPr>
      </w:pPr>
      <w:bookmarkStart w:id="14" w:name="_Toc532905082"/>
      <w:bookmarkStart w:id="15" w:name="_Toc22762704"/>
      <w:bookmarkStart w:id="16" w:name="_Toc23061883"/>
      <w:bookmarkStart w:id="17" w:name="_Toc53261894"/>
      <w:bookmarkStart w:id="18" w:name="_Toc54213122"/>
      <w:bookmarkStart w:id="19" w:name="_Toc54476407"/>
      <w:bookmarkStart w:id="20" w:name="_Toc86749871"/>
      <w:bookmarkStart w:id="21" w:name="_Toc86831954"/>
      <w:r w:rsidRPr="009F7333">
        <w:rPr>
          <w:rFonts w:ascii="Arial" w:hAnsi="Arial" w:cs="Arial"/>
        </w:rPr>
        <w:t>-</w:t>
      </w:r>
      <w:r w:rsidRPr="009F7333">
        <w:rPr>
          <w:rFonts w:ascii="Arial" w:hAnsi="Arial" w:cs="Arial"/>
        </w:rPr>
        <w:tab/>
        <w:t>poskytovanie nebytových priestorov – samostatných miestností v železničných staniciach (ďalej len ŽST) osobnej dopravy železničnému podniku zvlášť vyčlenených na účely predaja so štandardným technickým umožnením využívania médií  (elektrická energia, teplo) – tzv. „kamenné pokladnice“. Za štandard sa nepovažuje zabezpečenie klimatizácie,</w:t>
      </w:r>
      <w:bookmarkEnd w:id="14"/>
      <w:bookmarkEnd w:id="15"/>
      <w:bookmarkEnd w:id="16"/>
      <w:bookmarkEnd w:id="17"/>
      <w:bookmarkEnd w:id="18"/>
      <w:bookmarkEnd w:id="19"/>
      <w:bookmarkEnd w:id="20"/>
      <w:bookmarkEnd w:id="21"/>
    </w:p>
    <w:p w:rsidR="00DB1A5C" w:rsidRPr="009F7333" w:rsidRDefault="00DB1A5C" w:rsidP="00DB1A5C">
      <w:pPr>
        <w:ind w:left="567" w:hanging="283"/>
        <w:jc w:val="both"/>
        <w:outlineLvl w:val="2"/>
        <w:rPr>
          <w:rFonts w:ascii="Arial" w:hAnsi="Arial" w:cs="Arial"/>
        </w:rPr>
      </w:pPr>
      <w:bookmarkStart w:id="22" w:name="_Toc532905083"/>
      <w:bookmarkStart w:id="23" w:name="_Toc22762705"/>
      <w:bookmarkStart w:id="24" w:name="_Toc23061884"/>
      <w:bookmarkStart w:id="25" w:name="_Toc53261895"/>
      <w:bookmarkStart w:id="26" w:name="_Toc54213123"/>
      <w:bookmarkStart w:id="27" w:name="_Toc54476408"/>
      <w:bookmarkStart w:id="28" w:name="_Toc86749872"/>
      <w:bookmarkStart w:id="29" w:name="_Toc86831955"/>
      <w:r w:rsidRPr="009F7333">
        <w:rPr>
          <w:rFonts w:ascii="Arial" w:hAnsi="Arial" w:cs="Arial"/>
        </w:rPr>
        <w:t>-</w:t>
      </w:r>
      <w:r w:rsidRPr="009F7333">
        <w:rPr>
          <w:rFonts w:ascii="Arial" w:hAnsi="Arial" w:cs="Arial"/>
        </w:rPr>
        <w:tab/>
        <w:t>poskytnutie časti verejných priestorov vo vestibuloch ŽST osobnej dopravy a ostatných verejne prístupných miestach v obvode staníc osobnej dopravy na účely umiestnenia samoobslužných zariadení – automatov alebo kioskov, stánkov a pod. poskytujúcich predaj a výdaj prepravných dokladov. Cena za umiestnenie takéhoto zariadenia sa určuje podľa výmery užívateľskej plochy pod zariadením.</w:t>
      </w:r>
      <w:bookmarkEnd w:id="22"/>
      <w:bookmarkEnd w:id="23"/>
      <w:bookmarkEnd w:id="24"/>
      <w:bookmarkEnd w:id="25"/>
      <w:bookmarkEnd w:id="26"/>
      <w:bookmarkEnd w:id="27"/>
      <w:bookmarkEnd w:id="28"/>
      <w:bookmarkEnd w:id="29"/>
    </w:p>
    <w:p w:rsidR="00DB1A5C" w:rsidRPr="009F7333" w:rsidRDefault="00DB1A5C" w:rsidP="00DB1A5C">
      <w:pPr>
        <w:jc w:val="both"/>
        <w:outlineLvl w:val="2"/>
        <w:rPr>
          <w:rFonts w:ascii="Arial" w:hAnsi="Arial" w:cs="Arial"/>
        </w:rPr>
      </w:pPr>
      <w:bookmarkStart w:id="30" w:name="_Toc532905084"/>
      <w:bookmarkStart w:id="31" w:name="_Toc22762706"/>
      <w:bookmarkStart w:id="32" w:name="_Toc23061885"/>
      <w:bookmarkStart w:id="33" w:name="_Toc53261896"/>
      <w:bookmarkStart w:id="34" w:name="_Toc54213124"/>
      <w:bookmarkStart w:id="35" w:name="_Toc54476409"/>
      <w:bookmarkStart w:id="36" w:name="_Toc86749873"/>
      <w:bookmarkStart w:id="37" w:name="_Toc86831956"/>
      <w:r w:rsidRPr="009F7333">
        <w:rPr>
          <w:rFonts w:ascii="Arial" w:hAnsi="Arial" w:cs="Arial"/>
        </w:rPr>
        <w:t>Poskytnuté nebytové priestory pre zákaznícke centrá sa nepovažujú za MPPD.</w:t>
      </w:r>
      <w:bookmarkEnd w:id="30"/>
      <w:bookmarkEnd w:id="31"/>
      <w:bookmarkEnd w:id="32"/>
      <w:bookmarkEnd w:id="33"/>
      <w:bookmarkEnd w:id="34"/>
      <w:bookmarkEnd w:id="35"/>
      <w:bookmarkEnd w:id="36"/>
      <w:bookmarkEnd w:id="37"/>
    </w:p>
    <w:p w:rsidR="00DB1A5C" w:rsidRPr="00626AC3" w:rsidRDefault="00DB1A5C" w:rsidP="00DB1A5C">
      <w:pPr>
        <w:jc w:val="both"/>
        <w:rPr>
          <w:rFonts w:ascii="Arial" w:hAnsi="Arial" w:cs="Arial"/>
        </w:rPr>
      </w:pPr>
      <w:bookmarkStart w:id="38" w:name="_Toc532905085"/>
      <w:bookmarkStart w:id="39" w:name="_Toc22762707"/>
      <w:bookmarkStart w:id="40" w:name="_Toc23061886"/>
      <w:bookmarkStart w:id="41" w:name="_GoBack"/>
      <w:r w:rsidRPr="009F7333">
        <w:rPr>
          <w:rFonts w:ascii="Arial" w:hAnsi="Arial" w:cs="Arial"/>
        </w:rPr>
        <w:t>Zoznam DB s prenajímanými priestormi určených na predaj prepravných dokladov</w:t>
      </w:r>
      <w:bookmarkEnd w:id="41"/>
      <w:r w:rsidRPr="009F7333">
        <w:rPr>
          <w:rFonts w:ascii="Arial" w:hAnsi="Arial" w:cs="Arial"/>
        </w:rPr>
        <w:t xml:space="preserve"> je uvedený </w:t>
      </w:r>
      <w:r w:rsidRPr="00626AC3">
        <w:rPr>
          <w:rFonts w:ascii="Arial" w:hAnsi="Arial" w:cs="Arial"/>
        </w:rPr>
        <w:t>v</w:t>
      </w:r>
      <w:r w:rsidR="00626AC3">
        <w:rPr>
          <w:rFonts w:ascii="Arial" w:hAnsi="Arial" w:cs="Arial"/>
        </w:rPr>
        <w:t> </w:t>
      </w:r>
      <w:r w:rsidRPr="008A5528">
        <w:rPr>
          <w:rFonts w:ascii="Arial" w:hAnsi="Arial" w:cs="Arial"/>
          <w:u w:val="single"/>
        </w:rPr>
        <w:t>prílohe</w:t>
      </w:r>
      <w:r w:rsidR="00626AC3" w:rsidRPr="008A5528">
        <w:rPr>
          <w:rFonts w:ascii="Arial" w:hAnsi="Arial" w:cs="Arial"/>
          <w:u w:val="single"/>
        </w:rPr>
        <w:t xml:space="preserve"> 1</w:t>
      </w:r>
      <w:r w:rsidRPr="00626AC3">
        <w:rPr>
          <w:rFonts w:ascii="Arial" w:hAnsi="Arial" w:cs="Arial"/>
        </w:rPr>
        <w:t>.</w:t>
      </w:r>
      <w:bookmarkEnd w:id="38"/>
      <w:bookmarkEnd w:id="39"/>
      <w:bookmarkEnd w:id="40"/>
    </w:p>
    <w:p w:rsidR="00DB1A5C" w:rsidRPr="00626AC3" w:rsidRDefault="00DB1A5C" w:rsidP="00DB1A5C">
      <w:pPr>
        <w:autoSpaceDE w:val="0"/>
        <w:autoSpaceDN w:val="0"/>
        <w:adjustRightInd w:val="0"/>
        <w:spacing w:after="120"/>
        <w:ind w:left="709"/>
        <w:jc w:val="both"/>
        <w:rPr>
          <w:rFonts w:ascii="Arial" w:hAnsi="Arial" w:cs="Arial"/>
          <w:b/>
          <w:i/>
          <w:u w:val="single"/>
        </w:rPr>
      </w:pPr>
      <w:r w:rsidRPr="00626AC3">
        <w:rPr>
          <w:rFonts w:ascii="Arial" w:hAnsi="Arial" w:cs="Arial"/>
          <w:b/>
          <w:i/>
          <w:u w:val="single"/>
        </w:rPr>
        <w:t>Maximálna úhrada  za miesta na predaj prepravných dokladov na staniciach osobnej dopravy  U</w:t>
      </w:r>
      <w:r w:rsidRPr="00626AC3">
        <w:rPr>
          <w:rFonts w:ascii="Arial" w:hAnsi="Arial" w:cs="Arial"/>
          <w:b/>
          <w:i/>
          <w:caps/>
          <w:u w:val="single"/>
          <w:vertAlign w:val="subscript"/>
        </w:rPr>
        <w:t>sz</w:t>
      </w:r>
      <w:r w:rsidRPr="00626AC3">
        <w:rPr>
          <w:rFonts w:ascii="Arial" w:hAnsi="Arial" w:cs="Arial"/>
          <w:b/>
          <w:i/>
          <w:u w:val="single"/>
          <w:vertAlign w:val="subscript"/>
        </w:rPr>
        <w:t>2</w:t>
      </w:r>
      <w:r w:rsidRPr="00626AC3">
        <w:rPr>
          <w:rFonts w:ascii="Arial" w:hAnsi="Arial" w:cs="Arial"/>
          <w:b/>
          <w:i/>
          <w:u w:val="single"/>
        </w:rPr>
        <w:t xml:space="preserve">  </w:t>
      </w:r>
    </w:p>
    <w:p w:rsidR="00626AC3" w:rsidRPr="00626AC3" w:rsidRDefault="00626AC3" w:rsidP="00626AC3">
      <w:pPr>
        <w:autoSpaceDE w:val="0"/>
        <w:autoSpaceDN w:val="0"/>
        <w:adjustRightInd w:val="0"/>
        <w:spacing w:after="120"/>
        <w:jc w:val="both"/>
        <w:rPr>
          <w:rFonts w:ascii="Arial" w:hAnsi="Arial" w:cs="Arial"/>
        </w:rPr>
      </w:pPr>
      <w:r w:rsidRPr="00626AC3">
        <w:rPr>
          <w:rFonts w:ascii="Arial" w:hAnsi="Arial" w:cs="Arial"/>
        </w:rPr>
        <w:t>Úhrada Usz</w:t>
      </w:r>
      <w:r w:rsidRPr="00626AC3">
        <w:rPr>
          <w:rFonts w:ascii="Arial" w:hAnsi="Arial" w:cs="Arial"/>
          <w:vertAlign w:val="subscript"/>
        </w:rPr>
        <w:t>2</w:t>
      </w:r>
      <w:r w:rsidRPr="00626AC3">
        <w:rPr>
          <w:rFonts w:ascii="Arial" w:hAnsi="Arial" w:cs="Arial"/>
        </w:rPr>
        <w:t xml:space="preserve"> za miesta na predaj prepravných dokladov na staniciach osobnej dopravy, ktoré sa zaraďujú do (</w:t>
      </w:r>
      <w:proofErr w:type="spellStart"/>
      <w:r w:rsidRPr="00626AC3">
        <w:rPr>
          <w:rFonts w:ascii="Arial" w:hAnsi="Arial" w:cs="Arial"/>
        </w:rPr>
        <w:t>j</w:t>
      </w:r>
      <w:r w:rsidRPr="00626AC3">
        <w:rPr>
          <w:rFonts w:ascii="Arial" w:hAnsi="Arial" w:cs="Arial"/>
          <w:vertAlign w:val="subscript"/>
        </w:rPr>
        <w:t>pm</w:t>
      </w:r>
      <w:proofErr w:type="spellEnd"/>
      <w:r w:rsidRPr="00626AC3">
        <w:rPr>
          <w:rFonts w:ascii="Arial" w:hAnsi="Arial" w:cs="Arial"/>
        </w:rPr>
        <w:t>) tej kategórie dopravného bodu</w:t>
      </w:r>
    </w:p>
    <w:tbl>
      <w:tblPr>
        <w:tblStyle w:val="Mriekatabuky"/>
        <w:tblW w:w="0" w:type="auto"/>
        <w:tblInd w:w="1696" w:type="dxa"/>
        <w:tblLook w:val="04A0" w:firstRow="1" w:lastRow="0" w:firstColumn="1" w:lastColumn="0" w:noHBand="0" w:noVBand="1"/>
      </w:tblPr>
      <w:tblGrid>
        <w:gridCol w:w="2688"/>
        <w:gridCol w:w="3124"/>
      </w:tblGrid>
      <w:tr w:rsidR="00626AC3" w:rsidTr="00626AC3">
        <w:tc>
          <w:tcPr>
            <w:tcW w:w="2688" w:type="dxa"/>
          </w:tcPr>
          <w:p w:rsidR="00626AC3" w:rsidRPr="00626AC3" w:rsidRDefault="00626AC3" w:rsidP="00626AC3">
            <w:pPr>
              <w:autoSpaceDE w:val="0"/>
              <w:autoSpaceDN w:val="0"/>
              <w:adjustRightInd w:val="0"/>
              <w:spacing w:after="120"/>
              <w:ind w:left="26"/>
              <w:jc w:val="center"/>
              <w:rPr>
                <w:rFonts w:ascii="Arial" w:hAnsi="Arial" w:cs="Arial"/>
              </w:rPr>
            </w:pPr>
            <w:r w:rsidRPr="00626AC3">
              <w:rPr>
                <w:rFonts w:ascii="Arial" w:hAnsi="Arial" w:cs="Arial"/>
              </w:rPr>
              <w:t>Kategória dopravného bodu</w:t>
            </w:r>
          </w:p>
          <w:p w:rsidR="00626AC3" w:rsidRDefault="00626AC3" w:rsidP="00626AC3">
            <w:pPr>
              <w:autoSpaceDE w:val="0"/>
              <w:autoSpaceDN w:val="0"/>
              <w:adjustRightInd w:val="0"/>
              <w:spacing w:after="120"/>
              <w:jc w:val="center"/>
              <w:rPr>
                <w:rFonts w:ascii="Arial" w:hAnsi="Arial" w:cs="Arial"/>
              </w:rPr>
            </w:pPr>
            <w:r w:rsidRPr="00626AC3">
              <w:rPr>
                <w:rFonts w:ascii="Arial" w:hAnsi="Arial" w:cs="Arial"/>
              </w:rPr>
              <w:t>(</w:t>
            </w:r>
            <w:proofErr w:type="spellStart"/>
            <w:r w:rsidRPr="00626AC3">
              <w:rPr>
                <w:rFonts w:ascii="Arial" w:hAnsi="Arial" w:cs="Arial"/>
              </w:rPr>
              <w:t>jpm</w:t>
            </w:r>
            <w:proofErr w:type="spellEnd"/>
            <w:r w:rsidRPr="00626AC3">
              <w:rPr>
                <w:rFonts w:ascii="Arial" w:hAnsi="Arial" w:cs="Arial"/>
              </w:rPr>
              <w:t>)</w:t>
            </w:r>
          </w:p>
        </w:tc>
        <w:tc>
          <w:tcPr>
            <w:tcW w:w="3124" w:type="dxa"/>
          </w:tcPr>
          <w:p w:rsidR="00626AC3" w:rsidRPr="00626AC3" w:rsidRDefault="00626AC3" w:rsidP="00626AC3">
            <w:pPr>
              <w:autoSpaceDE w:val="0"/>
              <w:autoSpaceDN w:val="0"/>
              <w:adjustRightInd w:val="0"/>
              <w:spacing w:after="120"/>
              <w:ind w:left="709" w:right="1301"/>
              <w:jc w:val="center"/>
              <w:rPr>
                <w:rFonts w:ascii="Arial" w:hAnsi="Arial" w:cs="Arial"/>
              </w:rPr>
            </w:pPr>
            <w:r w:rsidRPr="00626AC3">
              <w:rPr>
                <w:rFonts w:ascii="Arial" w:hAnsi="Arial" w:cs="Arial"/>
              </w:rPr>
              <w:t>Usz2</w:t>
            </w:r>
          </w:p>
          <w:p w:rsidR="00626AC3" w:rsidRPr="00626AC3" w:rsidRDefault="00626AC3" w:rsidP="00626AC3">
            <w:pPr>
              <w:autoSpaceDE w:val="0"/>
              <w:autoSpaceDN w:val="0"/>
              <w:adjustRightInd w:val="0"/>
              <w:spacing w:after="120"/>
              <w:ind w:left="37"/>
              <w:jc w:val="center"/>
              <w:rPr>
                <w:rFonts w:ascii="Arial" w:hAnsi="Arial" w:cs="Arial"/>
              </w:rPr>
            </w:pPr>
            <w:r w:rsidRPr="00626AC3">
              <w:rPr>
                <w:rFonts w:ascii="Arial" w:hAnsi="Arial" w:cs="Arial"/>
              </w:rPr>
              <w:t>v eurách za mesiac a m2</w:t>
            </w:r>
          </w:p>
          <w:p w:rsidR="00626AC3" w:rsidRDefault="00626AC3" w:rsidP="00626AC3">
            <w:pPr>
              <w:autoSpaceDE w:val="0"/>
              <w:autoSpaceDN w:val="0"/>
              <w:adjustRightInd w:val="0"/>
              <w:spacing w:after="120"/>
              <w:jc w:val="center"/>
              <w:rPr>
                <w:rFonts w:ascii="Arial" w:hAnsi="Arial" w:cs="Arial"/>
              </w:rPr>
            </w:pPr>
            <w:r w:rsidRPr="00626AC3">
              <w:rPr>
                <w:rFonts w:ascii="Arial" w:hAnsi="Arial" w:cs="Arial"/>
              </w:rPr>
              <w:t>bez dane z pridanej hodnoty</w:t>
            </w:r>
          </w:p>
        </w:tc>
      </w:tr>
      <w:tr w:rsidR="00626AC3" w:rsidTr="00626AC3">
        <w:tc>
          <w:tcPr>
            <w:tcW w:w="2688" w:type="dxa"/>
          </w:tcPr>
          <w:p w:rsidR="00626AC3" w:rsidRDefault="00626AC3" w:rsidP="00626AC3">
            <w:pPr>
              <w:autoSpaceDE w:val="0"/>
              <w:autoSpaceDN w:val="0"/>
              <w:adjustRightInd w:val="0"/>
              <w:spacing w:after="120"/>
              <w:ind w:left="28"/>
              <w:jc w:val="center"/>
              <w:rPr>
                <w:rFonts w:ascii="Arial" w:hAnsi="Arial" w:cs="Arial"/>
              </w:rPr>
            </w:pPr>
            <w:proofErr w:type="spellStart"/>
            <w:r w:rsidRPr="00626AC3">
              <w:rPr>
                <w:rFonts w:ascii="Arial" w:hAnsi="Arial" w:cs="Arial"/>
              </w:rPr>
              <w:t>A</w:t>
            </w:r>
            <w:r w:rsidRPr="00626AC3">
              <w:rPr>
                <w:rFonts w:ascii="Arial" w:hAnsi="Arial" w:cs="Arial"/>
                <w:vertAlign w:val="subscript"/>
              </w:rPr>
              <w:t>pm</w:t>
            </w:r>
            <w:proofErr w:type="spellEnd"/>
          </w:p>
        </w:tc>
        <w:tc>
          <w:tcPr>
            <w:tcW w:w="3124" w:type="dxa"/>
          </w:tcPr>
          <w:p w:rsidR="00626AC3" w:rsidRDefault="00626AC3" w:rsidP="00626AC3">
            <w:pPr>
              <w:autoSpaceDE w:val="0"/>
              <w:autoSpaceDN w:val="0"/>
              <w:adjustRightInd w:val="0"/>
              <w:spacing w:after="120"/>
              <w:jc w:val="center"/>
              <w:rPr>
                <w:rFonts w:ascii="Arial" w:hAnsi="Arial" w:cs="Arial"/>
              </w:rPr>
            </w:pPr>
            <w:r w:rsidRPr="00626AC3">
              <w:rPr>
                <w:rFonts w:ascii="Arial" w:hAnsi="Arial" w:cs="Arial"/>
              </w:rPr>
              <w:t>2,35</w:t>
            </w:r>
          </w:p>
        </w:tc>
      </w:tr>
      <w:tr w:rsidR="00626AC3" w:rsidTr="00626AC3">
        <w:tc>
          <w:tcPr>
            <w:tcW w:w="2688" w:type="dxa"/>
          </w:tcPr>
          <w:p w:rsidR="00626AC3" w:rsidRDefault="00626AC3" w:rsidP="00626AC3">
            <w:pPr>
              <w:autoSpaceDE w:val="0"/>
              <w:autoSpaceDN w:val="0"/>
              <w:adjustRightInd w:val="0"/>
              <w:spacing w:after="120"/>
              <w:jc w:val="center"/>
              <w:rPr>
                <w:rFonts w:ascii="Arial" w:hAnsi="Arial" w:cs="Arial"/>
              </w:rPr>
            </w:pPr>
            <w:proofErr w:type="spellStart"/>
            <w:r w:rsidRPr="00626AC3">
              <w:rPr>
                <w:rFonts w:ascii="Arial" w:hAnsi="Arial" w:cs="Arial"/>
              </w:rPr>
              <w:t>B</w:t>
            </w:r>
            <w:r w:rsidRPr="00626AC3">
              <w:rPr>
                <w:rFonts w:ascii="Arial" w:hAnsi="Arial" w:cs="Arial"/>
                <w:vertAlign w:val="subscript"/>
              </w:rPr>
              <w:t>pm</w:t>
            </w:r>
            <w:proofErr w:type="spellEnd"/>
          </w:p>
        </w:tc>
        <w:tc>
          <w:tcPr>
            <w:tcW w:w="3124" w:type="dxa"/>
          </w:tcPr>
          <w:p w:rsidR="00626AC3" w:rsidRDefault="00626AC3" w:rsidP="00626AC3">
            <w:pPr>
              <w:autoSpaceDE w:val="0"/>
              <w:autoSpaceDN w:val="0"/>
              <w:adjustRightInd w:val="0"/>
              <w:spacing w:after="120"/>
              <w:jc w:val="center"/>
              <w:rPr>
                <w:rFonts w:ascii="Arial" w:hAnsi="Arial" w:cs="Arial"/>
              </w:rPr>
            </w:pPr>
            <w:r w:rsidRPr="00626AC3">
              <w:rPr>
                <w:rFonts w:ascii="Arial" w:hAnsi="Arial" w:cs="Arial"/>
              </w:rPr>
              <w:t>2,00</w:t>
            </w:r>
          </w:p>
        </w:tc>
      </w:tr>
    </w:tbl>
    <w:p w:rsidR="00626AC3" w:rsidRDefault="00626AC3" w:rsidP="00626AC3">
      <w:pPr>
        <w:autoSpaceDE w:val="0"/>
        <w:autoSpaceDN w:val="0"/>
        <w:adjustRightInd w:val="0"/>
        <w:spacing w:after="120"/>
        <w:ind w:left="709"/>
        <w:jc w:val="both"/>
        <w:rPr>
          <w:rFonts w:ascii="Arial" w:hAnsi="Arial" w:cs="Arial"/>
        </w:rPr>
      </w:pPr>
    </w:p>
    <w:p w:rsidR="00DB1A5C" w:rsidRPr="009F7333" w:rsidRDefault="00DB1A5C" w:rsidP="00DB1A5C">
      <w:pPr>
        <w:rPr>
          <w:rFonts w:ascii="Arial" w:hAnsi="Arial" w:cs="Arial"/>
        </w:rPr>
      </w:pPr>
      <w:r w:rsidRPr="009F7333">
        <w:rPr>
          <w:rFonts w:ascii="Arial" w:hAnsi="Arial" w:cs="Arial"/>
          <w:b/>
        </w:rPr>
        <w:t>Podmienky predaja</w:t>
      </w:r>
      <w:r w:rsidRPr="009F7333">
        <w:rPr>
          <w:rFonts w:ascii="Arial" w:hAnsi="Arial" w:cs="Arial"/>
        </w:rPr>
        <w:t>:  Cena je stanovená za 1 m</w:t>
      </w:r>
      <w:r w:rsidRPr="009F7333">
        <w:rPr>
          <w:rFonts w:ascii="Arial" w:hAnsi="Arial" w:cs="Arial"/>
          <w:vertAlign w:val="superscript"/>
        </w:rPr>
        <w:t>2</w:t>
      </w:r>
      <w:r w:rsidRPr="009F7333">
        <w:rPr>
          <w:rFonts w:ascii="Arial" w:hAnsi="Arial" w:cs="Arial"/>
        </w:rPr>
        <w:t xml:space="preserve"> predajného miesta na mesiac bez DPH. Platí sa každý začatý kalendárny mesiac, v ktorom je služba poskytovaná.</w:t>
      </w:r>
    </w:p>
    <w:p w:rsidR="00DB1A5C" w:rsidRPr="009F7333" w:rsidRDefault="00DB1A5C" w:rsidP="00DB1A5C">
      <w:pPr>
        <w:ind w:firstLine="709"/>
        <w:jc w:val="both"/>
        <w:outlineLvl w:val="2"/>
        <w:rPr>
          <w:rFonts w:ascii="Arial" w:hAnsi="Arial" w:cs="Arial"/>
          <w:u w:val="single"/>
        </w:rPr>
      </w:pPr>
      <w:bookmarkStart w:id="42" w:name="_Toc53261898"/>
      <w:bookmarkStart w:id="43" w:name="_Toc54213126"/>
      <w:bookmarkStart w:id="44" w:name="_Toc54476411"/>
      <w:bookmarkStart w:id="45" w:name="_Toc86749875"/>
      <w:bookmarkStart w:id="46" w:name="_Toc86831960"/>
      <w:r w:rsidRPr="009F7333">
        <w:rPr>
          <w:rFonts w:ascii="Arial" w:hAnsi="Arial" w:cs="Arial"/>
          <w:u w:val="single"/>
        </w:rPr>
        <w:t>Prístupové podmienky k miestam predaja prepravných dokladov</w:t>
      </w:r>
      <w:bookmarkEnd w:id="42"/>
      <w:bookmarkEnd w:id="43"/>
      <w:bookmarkEnd w:id="44"/>
      <w:bookmarkEnd w:id="45"/>
      <w:bookmarkEnd w:id="46"/>
    </w:p>
    <w:p w:rsidR="00DB1A5C" w:rsidRPr="009F7333" w:rsidRDefault="00DB1A5C" w:rsidP="00DB1A5C">
      <w:pPr>
        <w:jc w:val="both"/>
        <w:rPr>
          <w:rFonts w:ascii="Arial" w:hAnsi="Arial" w:cs="Arial"/>
        </w:rPr>
      </w:pPr>
      <w:r w:rsidRPr="009F7333">
        <w:rPr>
          <w:rFonts w:ascii="Arial" w:hAnsi="Arial" w:cs="Arial"/>
        </w:rPr>
        <w:t>V prípade kladného vyhovenia žiadosti železničného podniku (ďalej aj „žiadateľ“) ŽSR uzatvoria Zmluvu o užívaní MPPD (ďalej aj „Zmluva“), ktorej neoddeliteľnou súčasťou bude príloha so zoznamom pridelenej kapacity MPPD na príslušné obdobie platnosti GVD, ak už nemá túto Zmluvu železničný podnik so ŽSR uzatvorenú.  Ak už takúto Zmluvu uzatvorenú má, ŽSR uzatvoria so železničným podnikom dodatok k Zmluve. Tento postup sa analogicky použije aj v prípade kladného vybavenia žiadosti „ad-hoc“ a oneskorenej žiadosti. Právo na prístup k týmto servisným zariadeniam a službám týkajúcim sa železničnej osobnej dopravy je neprevoditeľné na iných žiadateľov.</w:t>
      </w:r>
    </w:p>
    <w:p w:rsidR="00DB1A5C" w:rsidRPr="009F7333" w:rsidRDefault="00DB1A5C" w:rsidP="00DB1A5C">
      <w:pPr>
        <w:jc w:val="both"/>
        <w:rPr>
          <w:rFonts w:ascii="Arial" w:hAnsi="Arial" w:cs="Arial"/>
        </w:rPr>
      </w:pPr>
      <w:r w:rsidRPr="009F7333">
        <w:rPr>
          <w:rFonts w:ascii="Arial" w:hAnsi="Arial" w:cs="Arial"/>
        </w:rPr>
        <w:t>Ak žiadateľ nemá v úmysle využiť vyššie uvedené právo na prístup k servisnému zariadeniu alebo službe týkajúcej sa železničnej osobnej dopravy udelené ŽSR, informuje o tom ŽSR bez zbytočného odkladu.</w:t>
      </w:r>
    </w:p>
    <w:p w:rsidR="00DB1A5C" w:rsidRPr="009F7333" w:rsidRDefault="00DB1A5C" w:rsidP="00DB1A5C">
      <w:pPr>
        <w:jc w:val="both"/>
        <w:rPr>
          <w:rFonts w:ascii="Arial" w:hAnsi="Arial" w:cs="Arial"/>
        </w:rPr>
      </w:pPr>
      <w:r w:rsidRPr="009F7333">
        <w:rPr>
          <w:rFonts w:ascii="Arial" w:hAnsi="Arial" w:cs="Arial"/>
        </w:rPr>
        <w:lastRenderedPageBreak/>
        <w:t>ŽSR odovzdávajú MPPD žiadateľom na obdobie platnosti jedného GVD prostredníctvom protokolu o odovzdaní a prevzatí MPPD (ďalej aj „Protokol“), ktorému predchádza uzavretie Zmluvy o užívaní MPPD. Všeobecné podmienky užívania služieb prístupu k MPPD (ďalej aj „VPU“) sú súčasťou Zmluvy uzatvorenej medzi ŽSR a železničným podnikom. Vzor zmluvy o užívaní MPPD je uvedený v</w:t>
      </w:r>
      <w:r w:rsidR="00626AC3">
        <w:rPr>
          <w:rFonts w:ascii="Arial" w:hAnsi="Arial" w:cs="Arial"/>
        </w:rPr>
        <w:t> </w:t>
      </w:r>
      <w:r w:rsidRPr="009F7333">
        <w:rPr>
          <w:rFonts w:ascii="Arial" w:hAnsi="Arial" w:cs="Arial"/>
          <w:u w:val="single"/>
        </w:rPr>
        <w:t>prílohe</w:t>
      </w:r>
      <w:r w:rsidR="00626AC3">
        <w:rPr>
          <w:rFonts w:ascii="Arial" w:hAnsi="Arial" w:cs="Arial"/>
          <w:u w:val="single"/>
        </w:rPr>
        <w:t xml:space="preserve"> 2</w:t>
      </w:r>
      <w:r w:rsidRPr="009F7333">
        <w:rPr>
          <w:rFonts w:ascii="Arial" w:hAnsi="Arial" w:cs="Arial"/>
          <w:u w:val="single"/>
        </w:rPr>
        <w:t xml:space="preserve"> </w:t>
      </w:r>
      <w:r w:rsidRPr="009F7333">
        <w:rPr>
          <w:rFonts w:ascii="Arial" w:hAnsi="Arial" w:cs="Arial"/>
        </w:rPr>
        <w:t>a Všeobecné podmienky užívania služieb prístupu k MPPD sú uvedené v</w:t>
      </w:r>
      <w:r w:rsidR="00626AC3">
        <w:rPr>
          <w:rFonts w:ascii="Arial" w:hAnsi="Arial" w:cs="Arial"/>
        </w:rPr>
        <w:t> </w:t>
      </w:r>
      <w:r w:rsidRPr="009F7333">
        <w:rPr>
          <w:rFonts w:ascii="Arial" w:hAnsi="Arial" w:cs="Arial"/>
          <w:u w:val="single"/>
        </w:rPr>
        <w:t>príloh</w:t>
      </w:r>
      <w:r w:rsidR="00D64D8A">
        <w:rPr>
          <w:rFonts w:ascii="Arial" w:hAnsi="Arial" w:cs="Arial"/>
          <w:u w:val="single"/>
        </w:rPr>
        <w:t>e</w:t>
      </w:r>
      <w:r w:rsidR="00626AC3">
        <w:rPr>
          <w:rFonts w:ascii="Arial" w:hAnsi="Arial" w:cs="Arial"/>
          <w:u w:val="single"/>
        </w:rPr>
        <w:t xml:space="preserve"> 3</w:t>
      </w:r>
      <w:r w:rsidRPr="009F7333">
        <w:rPr>
          <w:rFonts w:ascii="Arial" w:hAnsi="Arial" w:cs="Arial"/>
        </w:rPr>
        <w:t xml:space="preserve">. </w:t>
      </w:r>
    </w:p>
    <w:p w:rsidR="00DB1A5C" w:rsidRPr="00AD5CAB" w:rsidRDefault="00DB1A5C" w:rsidP="00DB1A5C">
      <w:pPr>
        <w:ind w:firstLine="709"/>
        <w:jc w:val="both"/>
        <w:outlineLvl w:val="2"/>
        <w:rPr>
          <w:rFonts w:ascii="Arial" w:hAnsi="Arial" w:cs="Arial"/>
          <w:b/>
          <w:i/>
          <w:u w:val="single"/>
        </w:rPr>
      </w:pPr>
      <w:bookmarkStart w:id="47" w:name="_Toc53261899"/>
      <w:bookmarkStart w:id="48" w:name="_Toc54213127"/>
      <w:bookmarkStart w:id="49" w:name="_Toc54476412"/>
      <w:bookmarkStart w:id="50" w:name="_Toc86749876"/>
      <w:bookmarkStart w:id="51" w:name="_Toc86831962"/>
      <w:r w:rsidRPr="00AD5CAB">
        <w:rPr>
          <w:rFonts w:ascii="Arial" w:hAnsi="Arial" w:cs="Arial"/>
          <w:b/>
          <w:i/>
          <w:u w:val="single"/>
        </w:rPr>
        <w:t>Žiadosť o pridelenie kapacity MPPD</w:t>
      </w:r>
      <w:bookmarkEnd w:id="47"/>
      <w:bookmarkEnd w:id="48"/>
      <w:bookmarkEnd w:id="49"/>
      <w:bookmarkEnd w:id="50"/>
      <w:bookmarkEnd w:id="51"/>
    </w:p>
    <w:p w:rsidR="00DB1A5C" w:rsidRPr="009F7333" w:rsidRDefault="00DB1A5C" w:rsidP="00AD5CAB">
      <w:pPr>
        <w:spacing w:after="0"/>
        <w:jc w:val="both"/>
        <w:rPr>
          <w:rFonts w:ascii="Arial" w:hAnsi="Arial" w:cs="Arial"/>
        </w:rPr>
      </w:pPr>
      <w:r w:rsidRPr="009F7333">
        <w:rPr>
          <w:rFonts w:ascii="Arial" w:hAnsi="Arial" w:cs="Arial"/>
        </w:rPr>
        <w:t>Železničný podnik zašle písomnú žiadosť o pridelenie kapacity MPPD  na adresu prevádzkovateľa: Správa majetku ŽSR Bratislava (ďalej aj „SM ŽSR BA“), Holekova 6, 811 04 Bratislava alebo e-mailom na sekretariát SM ŽSR BA: SM.BA@zsr.sk. Žiadosť musí byť podpísaná osobou oprávnenou podpisovať za železničný podnik. Žiadateľ v žiadosti uvedie minimálne údaje z prílohy 7.3.2.3. (Zoznam DB s prenajímanými priestormi určených na predaj prepravných dokladov), ktorými sú:</w:t>
      </w:r>
    </w:p>
    <w:p w:rsidR="00DB1A5C" w:rsidRPr="009F7333" w:rsidRDefault="00DB1A5C" w:rsidP="00AD5CAB">
      <w:pPr>
        <w:spacing w:after="0"/>
        <w:ind w:left="709" w:hanging="284"/>
        <w:jc w:val="both"/>
        <w:rPr>
          <w:rFonts w:ascii="Arial" w:hAnsi="Arial" w:cs="Arial"/>
        </w:rPr>
      </w:pPr>
      <w:r w:rsidRPr="009F7333">
        <w:rPr>
          <w:rFonts w:ascii="Arial" w:hAnsi="Arial" w:cs="Arial"/>
        </w:rPr>
        <w:t>-</w:t>
      </w:r>
      <w:r w:rsidRPr="009F7333">
        <w:rPr>
          <w:rFonts w:ascii="Arial" w:hAnsi="Arial" w:cs="Arial"/>
        </w:rPr>
        <w:tab/>
        <w:t>číslo miestnosti,</w:t>
      </w:r>
    </w:p>
    <w:p w:rsidR="00DB1A5C" w:rsidRPr="009F7333" w:rsidRDefault="00DB1A5C" w:rsidP="00AD5CAB">
      <w:pPr>
        <w:spacing w:after="0"/>
        <w:ind w:left="709" w:hanging="284"/>
        <w:jc w:val="both"/>
        <w:rPr>
          <w:rFonts w:ascii="Arial" w:hAnsi="Arial" w:cs="Arial"/>
        </w:rPr>
      </w:pPr>
      <w:r w:rsidRPr="009F7333">
        <w:rPr>
          <w:rFonts w:ascii="Arial" w:hAnsi="Arial" w:cs="Arial"/>
        </w:rPr>
        <w:t>-</w:t>
      </w:r>
      <w:r w:rsidRPr="009F7333">
        <w:rPr>
          <w:rFonts w:ascii="Arial" w:hAnsi="Arial" w:cs="Arial"/>
        </w:rPr>
        <w:tab/>
        <w:t>číslo budovy,</w:t>
      </w:r>
    </w:p>
    <w:p w:rsidR="00DB1A5C" w:rsidRPr="009F7333" w:rsidRDefault="00DB1A5C" w:rsidP="00AD5CAB">
      <w:pPr>
        <w:spacing w:after="0"/>
        <w:ind w:left="709" w:hanging="284"/>
        <w:jc w:val="both"/>
        <w:rPr>
          <w:rFonts w:ascii="Arial" w:hAnsi="Arial" w:cs="Arial"/>
        </w:rPr>
      </w:pPr>
      <w:r w:rsidRPr="009F7333">
        <w:rPr>
          <w:rFonts w:ascii="Arial" w:hAnsi="Arial" w:cs="Arial"/>
        </w:rPr>
        <w:t>-</w:t>
      </w:r>
      <w:r w:rsidRPr="009F7333">
        <w:rPr>
          <w:rFonts w:ascii="Arial" w:hAnsi="Arial" w:cs="Arial"/>
        </w:rPr>
        <w:tab/>
        <w:t>názov DB,</w:t>
      </w:r>
    </w:p>
    <w:p w:rsidR="00DB1A5C" w:rsidRPr="009F7333" w:rsidRDefault="00DB1A5C" w:rsidP="00AD5CAB">
      <w:pPr>
        <w:spacing w:after="0"/>
        <w:ind w:left="709" w:hanging="284"/>
        <w:jc w:val="both"/>
        <w:rPr>
          <w:rFonts w:ascii="Arial" w:hAnsi="Arial" w:cs="Arial"/>
        </w:rPr>
      </w:pPr>
      <w:r w:rsidRPr="009F7333">
        <w:rPr>
          <w:rFonts w:ascii="Arial" w:hAnsi="Arial" w:cs="Arial"/>
        </w:rPr>
        <w:t>-</w:t>
      </w:r>
      <w:r w:rsidRPr="009F7333">
        <w:rPr>
          <w:rFonts w:ascii="Arial" w:hAnsi="Arial" w:cs="Arial"/>
        </w:rPr>
        <w:tab/>
        <w:t>označenie miestnosti,</w:t>
      </w:r>
    </w:p>
    <w:p w:rsidR="00DB1A5C" w:rsidRPr="009F7333" w:rsidRDefault="00DB1A5C" w:rsidP="00AD5CAB">
      <w:pPr>
        <w:spacing w:after="0"/>
        <w:ind w:left="709" w:hanging="284"/>
        <w:jc w:val="both"/>
        <w:rPr>
          <w:rFonts w:ascii="Arial" w:hAnsi="Arial" w:cs="Arial"/>
        </w:rPr>
      </w:pPr>
      <w:r w:rsidRPr="009F7333">
        <w:rPr>
          <w:rFonts w:ascii="Arial" w:hAnsi="Arial" w:cs="Arial"/>
        </w:rPr>
        <w:t>-</w:t>
      </w:r>
      <w:r w:rsidRPr="009F7333">
        <w:rPr>
          <w:rFonts w:ascii="Arial" w:hAnsi="Arial" w:cs="Arial"/>
        </w:rPr>
        <w:tab/>
        <w:t xml:space="preserve">veľkosť plochy vzťahujúcej sa k MPPD, o ktorého pridelenie má záujem. </w:t>
      </w:r>
    </w:p>
    <w:p w:rsidR="00DB1A5C" w:rsidRPr="009F7333" w:rsidRDefault="00DB1A5C" w:rsidP="00AD5CAB">
      <w:pPr>
        <w:spacing w:after="0"/>
        <w:ind w:left="426" w:hanging="284"/>
        <w:jc w:val="both"/>
        <w:rPr>
          <w:rFonts w:ascii="Arial" w:hAnsi="Arial" w:cs="Arial"/>
        </w:rPr>
      </w:pPr>
    </w:p>
    <w:p w:rsidR="00DB1A5C" w:rsidRPr="009F7333" w:rsidRDefault="00DB1A5C" w:rsidP="00AD5CAB">
      <w:pPr>
        <w:spacing w:after="0"/>
        <w:jc w:val="both"/>
        <w:rPr>
          <w:rFonts w:ascii="Arial" w:hAnsi="Arial" w:cs="Arial"/>
        </w:rPr>
      </w:pPr>
      <w:r w:rsidRPr="009F7333">
        <w:rPr>
          <w:rFonts w:ascii="Arial" w:hAnsi="Arial" w:cs="Arial"/>
        </w:rPr>
        <w:t>V prípade záujmu o umiestnenie samoobslužných zariadení (automatov) alebo stánkov, kioskov apod. žiadateľ v žiadosti uvedie tieto údaje:</w:t>
      </w:r>
    </w:p>
    <w:p w:rsidR="00DB1A5C" w:rsidRPr="009F7333" w:rsidRDefault="00DB1A5C" w:rsidP="00AD5CAB">
      <w:pPr>
        <w:spacing w:after="0"/>
        <w:ind w:left="709" w:hanging="284"/>
        <w:jc w:val="both"/>
        <w:rPr>
          <w:rFonts w:ascii="Arial" w:hAnsi="Arial" w:cs="Arial"/>
        </w:rPr>
      </w:pPr>
      <w:r w:rsidRPr="009F7333">
        <w:rPr>
          <w:rFonts w:ascii="Arial" w:hAnsi="Arial" w:cs="Arial"/>
        </w:rPr>
        <w:t>-</w:t>
      </w:r>
      <w:r w:rsidRPr="009F7333">
        <w:rPr>
          <w:rFonts w:ascii="Arial" w:hAnsi="Arial" w:cs="Arial"/>
        </w:rPr>
        <w:tab/>
        <w:t>názov DB,</w:t>
      </w:r>
    </w:p>
    <w:p w:rsidR="00DB1A5C" w:rsidRPr="009F7333" w:rsidRDefault="00DB1A5C" w:rsidP="00AD5CAB">
      <w:pPr>
        <w:spacing w:after="0"/>
        <w:ind w:left="709" w:hanging="284"/>
        <w:jc w:val="both"/>
        <w:rPr>
          <w:rFonts w:ascii="Arial" w:hAnsi="Arial" w:cs="Arial"/>
        </w:rPr>
      </w:pPr>
      <w:r w:rsidRPr="009F7333">
        <w:rPr>
          <w:rFonts w:ascii="Arial" w:hAnsi="Arial" w:cs="Arial"/>
        </w:rPr>
        <w:t>-</w:t>
      </w:r>
      <w:r w:rsidRPr="009F7333">
        <w:rPr>
          <w:rFonts w:ascii="Arial" w:hAnsi="Arial" w:cs="Arial"/>
        </w:rPr>
        <w:tab/>
        <w:t>počet samoobslužných zariadení (automatov) alebo stánkov, kioskov a pod., ktoré chce umiestniť,</w:t>
      </w:r>
    </w:p>
    <w:p w:rsidR="00DB1A5C" w:rsidRPr="009F7333" w:rsidRDefault="00DB1A5C" w:rsidP="00AD5CAB">
      <w:pPr>
        <w:spacing w:after="0"/>
        <w:ind w:left="709" w:hanging="284"/>
        <w:jc w:val="both"/>
        <w:rPr>
          <w:rFonts w:ascii="Arial" w:hAnsi="Arial" w:cs="Arial"/>
        </w:rPr>
      </w:pPr>
      <w:r w:rsidRPr="009F7333">
        <w:rPr>
          <w:rFonts w:ascii="Arial" w:hAnsi="Arial" w:cs="Arial"/>
        </w:rPr>
        <w:t>-</w:t>
      </w:r>
      <w:r w:rsidRPr="009F7333">
        <w:rPr>
          <w:rFonts w:ascii="Arial" w:hAnsi="Arial" w:cs="Arial"/>
        </w:rPr>
        <w:tab/>
        <w:t>identifikáciu samoobslužných zariadení (automatov) alebo stánkov, kioskov a pod. (pôdorys v cm, parametre š/v/h v cm),</w:t>
      </w:r>
    </w:p>
    <w:p w:rsidR="00DB1A5C" w:rsidRPr="009F7333" w:rsidRDefault="00DB1A5C" w:rsidP="00AD5CAB">
      <w:pPr>
        <w:spacing w:after="0"/>
        <w:ind w:left="709" w:hanging="283"/>
        <w:jc w:val="both"/>
        <w:rPr>
          <w:rFonts w:ascii="Arial" w:hAnsi="Arial" w:cs="Arial"/>
        </w:rPr>
      </w:pPr>
      <w:r w:rsidRPr="009F7333">
        <w:rPr>
          <w:rFonts w:ascii="Arial" w:hAnsi="Arial" w:cs="Arial"/>
        </w:rPr>
        <w:t>-</w:t>
      </w:r>
      <w:r w:rsidRPr="009F7333">
        <w:rPr>
          <w:rFonts w:ascii="Arial" w:hAnsi="Arial" w:cs="Arial"/>
        </w:rPr>
        <w:tab/>
        <w:t>lokalizáciu umiestnenia zariadenia, zakreslenú v situačnom nákrese, príp. popis lokalizácie.</w:t>
      </w:r>
    </w:p>
    <w:p w:rsidR="00DB1A5C" w:rsidRPr="009F7333" w:rsidRDefault="00DB1A5C" w:rsidP="00AD5CAB">
      <w:pPr>
        <w:spacing w:after="0"/>
        <w:jc w:val="both"/>
        <w:rPr>
          <w:rFonts w:ascii="Arial" w:hAnsi="Arial" w:cs="Arial"/>
        </w:rPr>
      </w:pPr>
    </w:p>
    <w:p w:rsidR="00DB1A5C" w:rsidRPr="009F7333" w:rsidRDefault="00DB1A5C" w:rsidP="00AD5CAB">
      <w:pPr>
        <w:spacing w:after="0"/>
        <w:jc w:val="both"/>
        <w:rPr>
          <w:rFonts w:ascii="Arial" w:hAnsi="Arial" w:cs="Arial"/>
        </w:rPr>
      </w:pPr>
      <w:r w:rsidRPr="009F7333">
        <w:rPr>
          <w:rFonts w:ascii="Arial" w:hAnsi="Arial" w:cs="Arial"/>
        </w:rPr>
        <w:t>Zároveň v žiadosti uvedie časové rozpätie, resp. časové obdobie užívania MPPD počas platnosti GVD.</w:t>
      </w:r>
    </w:p>
    <w:p w:rsidR="00DB1A5C" w:rsidRPr="009F7333" w:rsidRDefault="00DB1A5C" w:rsidP="00AD5CAB">
      <w:pPr>
        <w:spacing w:after="0"/>
        <w:jc w:val="both"/>
        <w:rPr>
          <w:rFonts w:ascii="Arial" w:hAnsi="Arial" w:cs="Arial"/>
        </w:rPr>
      </w:pPr>
    </w:p>
    <w:p w:rsidR="00DB1A5C" w:rsidRPr="009F7333" w:rsidRDefault="00DB1A5C" w:rsidP="00AD5CAB">
      <w:pPr>
        <w:spacing w:after="0"/>
        <w:jc w:val="both"/>
        <w:rPr>
          <w:rFonts w:ascii="Arial" w:hAnsi="Arial" w:cs="Arial"/>
        </w:rPr>
      </w:pPr>
      <w:r w:rsidRPr="009F7333">
        <w:rPr>
          <w:rFonts w:ascii="Arial" w:hAnsi="Arial" w:cs="Arial"/>
        </w:rPr>
        <w:t>ŽSR prideľujú kapacitu MPPD maximálne na obdobie platnosti jedného GVD.</w:t>
      </w:r>
    </w:p>
    <w:p w:rsidR="00DB1A5C" w:rsidRPr="009F7333" w:rsidRDefault="00DB1A5C" w:rsidP="00AD5CAB">
      <w:pPr>
        <w:spacing w:after="0"/>
        <w:jc w:val="both"/>
        <w:rPr>
          <w:rFonts w:ascii="Arial" w:hAnsi="Arial" w:cs="Arial"/>
        </w:rPr>
      </w:pPr>
    </w:p>
    <w:p w:rsidR="00DB1A5C" w:rsidRPr="009F7333" w:rsidRDefault="00DB1A5C" w:rsidP="00AD5CAB">
      <w:pPr>
        <w:spacing w:after="0"/>
        <w:jc w:val="both"/>
        <w:rPr>
          <w:rFonts w:ascii="Arial" w:hAnsi="Arial" w:cs="Arial"/>
        </w:rPr>
      </w:pPr>
      <w:r w:rsidRPr="009F7333">
        <w:rPr>
          <w:rFonts w:ascii="Arial" w:hAnsi="Arial" w:cs="Arial"/>
        </w:rPr>
        <w:t>Lehoty stanovené na spracovanie žiadosti podanej železničným podnikom:</w:t>
      </w:r>
    </w:p>
    <w:p w:rsidR="00DB1A5C" w:rsidRPr="009F7333" w:rsidRDefault="00DB1A5C" w:rsidP="00AD5CAB">
      <w:pPr>
        <w:numPr>
          <w:ilvl w:val="4"/>
          <w:numId w:val="1"/>
        </w:numPr>
        <w:spacing w:after="0" w:line="240" w:lineRule="auto"/>
        <w:ind w:left="709"/>
        <w:jc w:val="both"/>
        <w:rPr>
          <w:rFonts w:ascii="Arial" w:hAnsi="Arial" w:cs="Arial"/>
        </w:rPr>
      </w:pPr>
      <w:r w:rsidRPr="009F7333">
        <w:rPr>
          <w:rFonts w:ascii="Arial" w:hAnsi="Arial" w:cs="Arial"/>
        </w:rPr>
        <w:t>podanie žiadosti železničným podnikom  v lehote najskôr 10 mesiacov a najneskôr 4 mesiace pred platnosťou GVD,</w:t>
      </w:r>
    </w:p>
    <w:p w:rsidR="00DB1A5C" w:rsidRPr="009F7333" w:rsidRDefault="00DB1A5C" w:rsidP="00AD5CAB">
      <w:pPr>
        <w:numPr>
          <w:ilvl w:val="4"/>
          <w:numId w:val="1"/>
        </w:numPr>
        <w:spacing w:after="0" w:line="240" w:lineRule="auto"/>
        <w:ind w:left="709"/>
        <w:jc w:val="both"/>
        <w:rPr>
          <w:rFonts w:ascii="Arial" w:hAnsi="Arial" w:cs="Arial"/>
        </w:rPr>
      </w:pPr>
      <w:r w:rsidRPr="009F7333">
        <w:rPr>
          <w:rFonts w:ascii="Arial" w:hAnsi="Arial" w:cs="Arial"/>
        </w:rPr>
        <w:t>posúdenie, či bola žiadosť riadne podaná a či obsahuje všetky požadované informácie podľa týchto „Podmienok používania železničnej siete“ potrebné na jej riadne vybavenie bez zbytočného odkladu, najneskôr však do 14 kalendárnych dní od doručenia žiadosti,</w:t>
      </w:r>
    </w:p>
    <w:p w:rsidR="00DB1A5C" w:rsidRPr="009F7333" w:rsidRDefault="00DB1A5C" w:rsidP="00AD5CAB">
      <w:pPr>
        <w:numPr>
          <w:ilvl w:val="4"/>
          <w:numId w:val="1"/>
        </w:numPr>
        <w:spacing w:after="0" w:line="240" w:lineRule="auto"/>
        <w:ind w:left="709"/>
        <w:jc w:val="both"/>
        <w:rPr>
          <w:rFonts w:ascii="Arial" w:hAnsi="Arial" w:cs="Arial"/>
        </w:rPr>
      </w:pPr>
      <w:r w:rsidRPr="009F7333">
        <w:rPr>
          <w:rFonts w:ascii="Arial" w:hAnsi="Arial" w:cs="Arial"/>
        </w:rPr>
        <w:t>vyzvanie železničného podniku v lehote najneskôr do 21 kalendárnych dní od doručenia  žiadosti na doplnenie údajov chýbajúcich v žiadosti,</w:t>
      </w:r>
    </w:p>
    <w:p w:rsidR="00DB1A5C" w:rsidRPr="009F7333" w:rsidRDefault="00DB1A5C" w:rsidP="00AD5CAB">
      <w:pPr>
        <w:numPr>
          <w:ilvl w:val="4"/>
          <w:numId w:val="1"/>
        </w:numPr>
        <w:spacing w:after="0" w:line="240" w:lineRule="auto"/>
        <w:ind w:left="709"/>
        <w:jc w:val="both"/>
        <w:rPr>
          <w:rFonts w:ascii="Arial" w:hAnsi="Arial" w:cs="Arial"/>
        </w:rPr>
      </w:pPr>
      <w:r w:rsidRPr="009F7333">
        <w:rPr>
          <w:rFonts w:ascii="Arial" w:hAnsi="Arial" w:cs="Arial"/>
        </w:rPr>
        <w:t>zaslanie chýbajúcich údajov najneskôr do 7 kalendárnych dní od doručenia výzvy; ak žiadateľ do stanoveného termínu tieto informácie nepredloží, ŽSR v takomto prípade žiadosť zamietnu,</w:t>
      </w:r>
    </w:p>
    <w:p w:rsidR="00DB1A5C" w:rsidRPr="009F7333" w:rsidRDefault="00DB1A5C" w:rsidP="00AD5CAB">
      <w:pPr>
        <w:numPr>
          <w:ilvl w:val="4"/>
          <w:numId w:val="1"/>
        </w:numPr>
        <w:spacing w:after="0" w:line="240" w:lineRule="auto"/>
        <w:ind w:left="709"/>
        <w:jc w:val="both"/>
        <w:rPr>
          <w:rFonts w:ascii="Arial" w:hAnsi="Arial" w:cs="Arial"/>
        </w:rPr>
      </w:pPr>
      <w:r w:rsidRPr="009F7333">
        <w:rPr>
          <w:rFonts w:ascii="Arial" w:hAnsi="Arial" w:cs="Arial"/>
        </w:rPr>
        <w:t xml:space="preserve">vyhodnotenie žiadosti a zaslanie  oznámenia železničnému podniku o vyhodnotení žiadosti v lehote  najneskôr 60 dní pred platnosťou GVD. </w:t>
      </w:r>
    </w:p>
    <w:p w:rsidR="00DB1A5C" w:rsidRPr="009F7333" w:rsidRDefault="00DB1A5C" w:rsidP="00AD5CAB">
      <w:pPr>
        <w:spacing w:after="0"/>
        <w:ind w:left="709"/>
        <w:jc w:val="both"/>
        <w:rPr>
          <w:rFonts w:ascii="Arial" w:hAnsi="Arial" w:cs="Arial"/>
        </w:rPr>
      </w:pPr>
    </w:p>
    <w:p w:rsidR="00DB1A5C" w:rsidRPr="009F7333" w:rsidRDefault="00DB1A5C" w:rsidP="00AD5CAB">
      <w:pPr>
        <w:spacing w:after="0"/>
        <w:jc w:val="both"/>
        <w:rPr>
          <w:rFonts w:ascii="Arial" w:hAnsi="Arial" w:cs="Arial"/>
        </w:rPr>
      </w:pPr>
      <w:r w:rsidRPr="009F7333">
        <w:rPr>
          <w:rFonts w:ascii="Arial" w:hAnsi="Arial" w:cs="Arial"/>
        </w:rPr>
        <w:t xml:space="preserve">V prípade kladného vyhovenia žiadosti železničným podnikom ŽSR uzatvoria zmluvu o užívaní MPPD (ďalej aj „Zmluva“), ktorej neoddeliteľnou súčasťou bude príloha so zoznamom </w:t>
      </w:r>
      <w:r w:rsidRPr="009F7333">
        <w:rPr>
          <w:rFonts w:ascii="Arial" w:hAnsi="Arial" w:cs="Arial"/>
        </w:rPr>
        <w:lastRenderedPageBreak/>
        <w:t>pridelenej kapacity MPPD na príslušné obdobie platnosti GVD. Právo na prístup k železničnej infraštruktúre a službám týkajúcim sa železničnej dopravy je neprevoditeľné na iných žiadateľov.</w:t>
      </w:r>
    </w:p>
    <w:p w:rsidR="00DB1A5C" w:rsidRPr="009F7333" w:rsidRDefault="00DB1A5C" w:rsidP="00AD5CAB">
      <w:pPr>
        <w:spacing w:after="0"/>
        <w:jc w:val="both"/>
        <w:rPr>
          <w:rFonts w:ascii="Arial" w:hAnsi="Arial" w:cs="Arial"/>
        </w:rPr>
      </w:pPr>
      <w:r w:rsidRPr="009F7333">
        <w:rPr>
          <w:rFonts w:ascii="Arial" w:hAnsi="Arial" w:cs="Arial"/>
        </w:rPr>
        <w:t>Ak žiadateľ nemá v úmysle využiť právo na prístup k servisnému zariadeniu alebo službe týkajúcej sa železničnej dopravy udelené ŽSR, informuje o tom ŽSR bez zbytočného odkladu.</w:t>
      </w:r>
    </w:p>
    <w:p w:rsidR="00DB1A5C" w:rsidRPr="009F7333" w:rsidRDefault="00DB1A5C" w:rsidP="00AD5CAB">
      <w:pPr>
        <w:spacing w:after="0"/>
        <w:jc w:val="both"/>
        <w:rPr>
          <w:rFonts w:ascii="Arial" w:hAnsi="Arial" w:cs="Arial"/>
        </w:rPr>
      </w:pPr>
    </w:p>
    <w:p w:rsidR="00DB1A5C" w:rsidRPr="009F7333" w:rsidRDefault="00DB1A5C" w:rsidP="00AD5CAB">
      <w:pPr>
        <w:spacing w:after="0"/>
        <w:jc w:val="both"/>
        <w:rPr>
          <w:rFonts w:ascii="Arial" w:hAnsi="Arial" w:cs="Arial"/>
        </w:rPr>
      </w:pPr>
      <w:r w:rsidRPr="009F7333">
        <w:rPr>
          <w:rFonts w:ascii="Arial" w:hAnsi="Arial" w:cs="Arial"/>
        </w:rPr>
        <w:t>Na žiadosť „ad-hoc“ alebo oneskorenú žiadosť železničného podniku reagujú ŽSR bez zbytočného odkladu, najneskôr však do 5 pracovných dní od jej doručenia. Lehoty stanovené v bode 2) až 4) sa primerane použijú aj na žiadosť „ad-hoc“ a oneskorenú žiadosť, ktorú ŽSR vyhodnotia a zašlú oznámenie o jej vyhodnotení železničnému podniku najneskôr do 30 kalendárnych dní od doručenia žiadosti „ad-hoc“ alebo oneskorenej žiadosti ŽSR.</w:t>
      </w:r>
    </w:p>
    <w:p w:rsidR="00DB1A5C" w:rsidRPr="009F7333" w:rsidRDefault="00DB1A5C" w:rsidP="00AD5CAB">
      <w:pPr>
        <w:spacing w:after="0"/>
        <w:jc w:val="both"/>
        <w:rPr>
          <w:rFonts w:ascii="Arial" w:hAnsi="Arial" w:cs="Arial"/>
        </w:rPr>
      </w:pPr>
      <w:r w:rsidRPr="009F7333">
        <w:rPr>
          <w:rFonts w:ascii="Arial" w:hAnsi="Arial" w:cs="Arial"/>
        </w:rPr>
        <w:t>Na zachovanie vyššie uvedených lehôt stačí odovzdanie zásielky na poštovú prepravu alebo vykonanie úkonu formou e-mailu v posledný deň lehoty.</w:t>
      </w:r>
    </w:p>
    <w:p w:rsidR="00DB1A5C" w:rsidRPr="009F7333" w:rsidRDefault="00DB1A5C" w:rsidP="00AD5CAB">
      <w:pPr>
        <w:spacing w:after="0"/>
        <w:jc w:val="both"/>
        <w:rPr>
          <w:rFonts w:ascii="Arial" w:hAnsi="Arial" w:cs="Arial"/>
        </w:rPr>
      </w:pPr>
    </w:p>
    <w:p w:rsidR="00DB1A5C" w:rsidRPr="00AD5CAB" w:rsidRDefault="00DB1A5C" w:rsidP="00AD5CAB">
      <w:pPr>
        <w:spacing w:after="0"/>
        <w:ind w:firstLine="709"/>
        <w:jc w:val="both"/>
        <w:outlineLvl w:val="2"/>
        <w:rPr>
          <w:rFonts w:ascii="Arial" w:hAnsi="Arial" w:cs="Arial"/>
          <w:b/>
          <w:i/>
          <w:u w:val="single"/>
        </w:rPr>
      </w:pPr>
      <w:bookmarkStart w:id="52" w:name="_Toc53261900"/>
      <w:bookmarkStart w:id="53" w:name="_Toc54213128"/>
      <w:bookmarkStart w:id="54" w:name="_Toc54476413"/>
      <w:bookmarkStart w:id="55" w:name="_Toc86749877"/>
      <w:bookmarkStart w:id="56" w:name="_Toc86831963"/>
      <w:r w:rsidRPr="00AD5CAB">
        <w:rPr>
          <w:rFonts w:ascii="Arial" w:hAnsi="Arial" w:cs="Arial"/>
          <w:b/>
          <w:i/>
          <w:u w:val="single"/>
        </w:rPr>
        <w:t>Proces koordinácie</w:t>
      </w:r>
      <w:bookmarkEnd w:id="52"/>
      <w:bookmarkEnd w:id="53"/>
      <w:bookmarkEnd w:id="54"/>
      <w:bookmarkEnd w:id="55"/>
      <w:bookmarkEnd w:id="56"/>
    </w:p>
    <w:p w:rsidR="00DB1A5C" w:rsidRPr="009F7333" w:rsidRDefault="00DB1A5C" w:rsidP="00AD5CAB">
      <w:pPr>
        <w:spacing w:after="0"/>
        <w:jc w:val="both"/>
        <w:rPr>
          <w:rFonts w:ascii="Arial" w:hAnsi="Arial" w:cs="Arial"/>
        </w:rPr>
      </w:pPr>
    </w:p>
    <w:p w:rsidR="00DB1A5C" w:rsidRPr="009F7333" w:rsidRDefault="00DB1A5C" w:rsidP="00AD5CAB">
      <w:pPr>
        <w:spacing w:after="0"/>
        <w:jc w:val="both"/>
        <w:rPr>
          <w:rFonts w:ascii="Arial" w:hAnsi="Arial" w:cs="Arial"/>
        </w:rPr>
      </w:pPr>
      <w:r w:rsidRPr="009F7333">
        <w:rPr>
          <w:rFonts w:ascii="Arial" w:hAnsi="Arial" w:cs="Arial"/>
        </w:rPr>
        <w:t>Ak ŽSR dostanú žiadosť o pridelenie kapacity MPPD, ktorá koliduje s inou žiadosťou alebo sa týka už pridelenej kapacity MPPD, začnú podľa potreby proces koordinácie s dotknutými žiadateľmi s cieľom zabezpečiť zosúladenie všetkých žiadostí. V rámci koordinačného procesu majú ŽSR a žiadatelia právo prizvať regulačný orgán ako pozorovateľa. Ak ani po vykonaní koordinačného postupu nie je možné vyhovieť všetkým žiadostiam o prístup k MPPD, ŽSR o tom bez zbytočného odkladu informujú dotknutého žiadateľa. ŽSR v spolupráci s dotknutými žiadateľmi posúdia reálne alternatívy podľa čl.12 Vykonávacieho nariadenia Komisie (EÚ) 2017/2177 z 22.novembra 2017.</w:t>
      </w:r>
    </w:p>
    <w:p w:rsidR="00DB1A5C" w:rsidRPr="009F7333" w:rsidRDefault="00DB1A5C" w:rsidP="00AD5CAB">
      <w:pPr>
        <w:spacing w:after="0"/>
        <w:jc w:val="both"/>
        <w:rPr>
          <w:rFonts w:ascii="Arial" w:hAnsi="Arial" w:cs="Arial"/>
        </w:rPr>
      </w:pPr>
    </w:p>
    <w:p w:rsidR="00DB1A5C" w:rsidRPr="009F7333" w:rsidRDefault="00DB1A5C" w:rsidP="00AD5CAB">
      <w:pPr>
        <w:spacing w:after="0"/>
        <w:jc w:val="both"/>
        <w:rPr>
          <w:rFonts w:ascii="Arial" w:hAnsi="Arial" w:cs="Arial"/>
        </w:rPr>
      </w:pPr>
      <w:r w:rsidRPr="009F7333">
        <w:rPr>
          <w:rFonts w:ascii="Arial" w:hAnsi="Arial" w:cs="Arial"/>
        </w:rPr>
        <w:t>V prípade, že nie je možné vyhovieť všetkým uplatneným požiadavkám žiadateľov, ŽSR sú oprávnené prednostne prideliť kapacitu MPPD žiadateľovi, ktorý:</w:t>
      </w:r>
    </w:p>
    <w:p w:rsidR="00DB1A5C" w:rsidRPr="009F7333" w:rsidRDefault="00DB1A5C" w:rsidP="00AD5CAB">
      <w:pPr>
        <w:spacing w:after="0"/>
        <w:ind w:left="709" w:hanging="283"/>
        <w:jc w:val="both"/>
        <w:rPr>
          <w:rFonts w:ascii="Arial" w:hAnsi="Arial" w:cs="Arial"/>
        </w:rPr>
      </w:pPr>
      <w:r w:rsidRPr="009F7333">
        <w:rPr>
          <w:rFonts w:ascii="Arial" w:hAnsi="Arial" w:cs="Arial"/>
        </w:rPr>
        <w:t>1.</w:t>
      </w:r>
      <w:r w:rsidRPr="009F7333">
        <w:rPr>
          <w:rFonts w:ascii="Arial" w:hAnsi="Arial" w:cs="Arial"/>
        </w:rPr>
        <w:tab/>
        <w:t>zabezpečuje pravidelnú osobnú dopravu v DB bode na základe pridelenia vlakových trás, tzn. prihliada sa na plánovaný počet vlakov žiadateľa zastavujúcich v DB. V dopravných bodoch s väčším počtom ponúkaných MPPD sa pridelí kapacita pomerovo k pridelenej kapacite vlakových trás,</w:t>
      </w:r>
    </w:p>
    <w:p w:rsidR="00DB1A5C" w:rsidRPr="009F7333" w:rsidRDefault="00DB1A5C" w:rsidP="00AD5CAB">
      <w:pPr>
        <w:spacing w:after="0"/>
        <w:ind w:left="709" w:hanging="283"/>
        <w:jc w:val="both"/>
        <w:rPr>
          <w:rFonts w:ascii="Arial" w:hAnsi="Arial" w:cs="Arial"/>
        </w:rPr>
      </w:pPr>
      <w:r w:rsidRPr="009F7333">
        <w:rPr>
          <w:rFonts w:ascii="Arial" w:hAnsi="Arial" w:cs="Arial"/>
        </w:rPr>
        <w:t>2.</w:t>
      </w:r>
      <w:r w:rsidRPr="009F7333">
        <w:rPr>
          <w:rFonts w:ascii="Arial" w:hAnsi="Arial" w:cs="Arial"/>
        </w:rPr>
        <w:tab/>
        <w:t>má</w:t>
      </w:r>
      <w:r w:rsidRPr="009F7333">
        <w:t xml:space="preserve"> </w:t>
      </w:r>
      <w:r w:rsidRPr="009F7333">
        <w:rPr>
          <w:rFonts w:ascii="Arial" w:hAnsi="Arial" w:cs="Arial"/>
        </w:rPr>
        <w:t>v čase podania žiadosti už uzatvorenú zmluvu o užívaní MPPD,</w:t>
      </w:r>
    </w:p>
    <w:p w:rsidR="00DB1A5C" w:rsidRPr="009F7333" w:rsidRDefault="00DB1A5C" w:rsidP="00AD5CAB">
      <w:pPr>
        <w:spacing w:after="0"/>
        <w:ind w:left="709" w:hanging="283"/>
        <w:jc w:val="both"/>
        <w:rPr>
          <w:rFonts w:ascii="Arial" w:hAnsi="Arial" w:cs="Arial"/>
        </w:rPr>
      </w:pPr>
      <w:r w:rsidRPr="009F7333">
        <w:rPr>
          <w:rFonts w:ascii="Arial" w:hAnsi="Arial" w:cs="Arial"/>
        </w:rPr>
        <w:t>3.</w:t>
      </w:r>
      <w:r w:rsidRPr="009F7333">
        <w:rPr>
          <w:rFonts w:ascii="Arial" w:hAnsi="Arial" w:cs="Arial"/>
        </w:rPr>
        <w:tab/>
        <w:t xml:space="preserve">má v čase podania žiadosti uzatvorenú zmluvu vo verejnom záujme, ktorej predmetom je poskytovanie dopravných služieb v DB, v ktorých ŽP žiada pridelenie kapacity MPPD, </w:t>
      </w:r>
    </w:p>
    <w:p w:rsidR="00DB1A5C" w:rsidRPr="009F7333" w:rsidRDefault="00DB1A5C" w:rsidP="00AD5CAB">
      <w:pPr>
        <w:spacing w:after="0"/>
        <w:ind w:left="567" w:hanging="141"/>
        <w:jc w:val="both"/>
        <w:rPr>
          <w:rFonts w:ascii="Arial" w:hAnsi="Arial" w:cs="Arial"/>
        </w:rPr>
      </w:pPr>
      <w:r w:rsidRPr="009F7333">
        <w:rPr>
          <w:rFonts w:ascii="Arial" w:hAnsi="Arial" w:cs="Arial"/>
        </w:rPr>
        <w:t>4.</w:t>
      </w:r>
      <w:r w:rsidRPr="009F7333">
        <w:rPr>
          <w:rFonts w:ascii="Arial" w:hAnsi="Arial" w:cs="Arial"/>
        </w:rPr>
        <w:tab/>
        <w:t>najskôr predložil žiadosť o pridelenie kapacity.</w:t>
      </w:r>
    </w:p>
    <w:p w:rsidR="00DB1A5C" w:rsidRPr="009F7333" w:rsidRDefault="00DB1A5C" w:rsidP="00AD5CAB">
      <w:pPr>
        <w:spacing w:after="0"/>
        <w:jc w:val="both"/>
        <w:rPr>
          <w:rFonts w:ascii="Arial" w:hAnsi="Arial" w:cs="Arial"/>
        </w:rPr>
      </w:pPr>
    </w:p>
    <w:p w:rsidR="00DB1A5C" w:rsidRPr="009F7333" w:rsidRDefault="00DB1A5C" w:rsidP="00AD5CAB">
      <w:pPr>
        <w:spacing w:after="0"/>
        <w:jc w:val="both"/>
        <w:rPr>
          <w:rFonts w:ascii="Arial" w:hAnsi="Arial" w:cs="Arial"/>
        </w:rPr>
      </w:pPr>
      <w:r w:rsidRPr="009F7333">
        <w:rPr>
          <w:rFonts w:ascii="Arial" w:hAnsi="Arial" w:cs="Arial"/>
        </w:rPr>
        <w:t>Ak ŽSR a žiadateľ dospejú k záveru, že reálne alternatívy neexistujú a žiadosti o pridelenie kapacity MPPD nemožno po koordinačnom postupe vyhovieť, ŽSR môžu žiadosť zamietnuť. ŽSR môžu žiadosť zamietnuť aj z ďalších dôvodov uvedených v právnych predpisoch.</w:t>
      </w:r>
    </w:p>
    <w:p w:rsidR="00DB1A5C" w:rsidRPr="009F7333" w:rsidRDefault="00DB1A5C" w:rsidP="00AD5CAB">
      <w:pPr>
        <w:spacing w:after="0"/>
        <w:jc w:val="both"/>
        <w:rPr>
          <w:rFonts w:ascii="Arial" w:hAnsi="Arial" w:cs="Arial"/>
        </w:rPr>
      </w:pPr>
      <w:r w:rsidRPr="009F7333">
        <w:rPr>
          <w:rFonts w:ascii="Arial" w:hAnsi="Arial" w:cs="Arial"/>
        </w:rPr>
        <w:t>V rámci koordinačného procesu majú ŽSR a žiadatelia právo prizvať regulačný orgán ako pozorovateľa.</w:t>
      </w:r>
    </w:p>
    <w:p w:rsidR="006472D5" w:rsidRDefault="006472D5" w:rsidP="00AD5CAB">
      <w:pPr>
        <w:spacing w:after="0"/>
      </w:pPr>
    </w:p>
    <w:sectPr w:rsidR="00647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C1FA0"/>
    <w:multiLevelType w:val="hybridMultilevel"/>
    <w:tmpl w:val="FDA89B48"/>
    <w:lvl w:ilvl="0" w:tplc="8CC2693C">
      <w:start w:val="5"/>
      <w:numFmt w:val="bullet"/>
      <w:lvlText w:val="-"/>
      <w:lvlJc w:val="left"/>
      <w:pPr>
        <w:tabs>
          <w:tab w:val="num" w:pos="720"/>
        </w:tabs>
        <w:ind w:left="720" w:hanging="360"/>
      </w:pPr>
      <w:rPr>
        <w:rFonts w:ascii="Arial" w:eastAsia="Times New Roman" w:hAnsi="Arial" w:cs="Arial" w:hint="default"/>
      </w:rPr>
    </w:lvl>
    <w:lvl w:ilvl="1" w:tplc="8092CE3C">
      <w:start w:val="1"/>
      <w:numFmt w:val="lowerLetter"/>
      <w:lvlText w:val="%2)"/>
      <w:lvlJc w:val="left"/>
      <w:pPr>
        <w:tabs>
          <w:tab w:val="num" w:pos="1440"/>
        </w:tabs>
        <w:ind w:left="1440" w:hanging="360"/>
      </w:pPr>
      <w:rPr>
        <w:rFonts w:hint="default"/>
      </w:rPr>
    </w:lvl>
    <w:lvl w:ilvl="2" w:tplc="8CC2693C">
      <w:start w:val="5"/>
      <w:numFmt w:val="bullet"/>
      <w:lvlText w:val="-"/>
      <w:lvlJc w:val="left"/>
      <w:pPr>
        <w:ind w:left="2340" w:hanging="360"/>
      </w:pPr>
      <w:rPr>
        <w:rFonts w:ascii="Arial" w:eastAsia="Times New Roman" w:hAnsi="Arial" w:cs="Arial" w:hint="default"/>
      </w:rPr>
    </w:lvl>
    <w:lvl w:ilvl="3" w:tplc="52D40E54">
      <w:start w:val="2"/>
      <w:numFmt w:val="lowerLetter"/>
      <w:lvlText w:val="%4)"/>
      <w:lvlJc w:val="left"/>
      <w:pPr>
        <w:ind w:left="2880" w:hanging="360"/>
      </w:pPr>
      <w:rPr>
        <w:rFonts w:hint="default"/>
      </w:rPr>
    </w:lvl>
    <w:lvl w:ilvl="4" w:tplc="041B000F">
      <w:start w:val="1"/>
      <w:numFmt w:val="decimal"/>
      <w:lvlText w:val="%5."/>
      <w:lvlJc w:val="left"/>
      <w:pPr>
        <w:ind w:left="3600" w:hanging="360"/>
      </w:pPr>
      <w:rPr>
        <w:rFonts w:hint="default"/>
      </w:rPr>
    </w:lvl>
    <w:lvl w:ilvl="5" w:tplc="70CEFA3A">
      <w:start w:val="1"/>
      <w:numFmt w:val="upperLetter"/>
      <w:lvlText w:val="%6)"/>
      <w:lvlJc w:val="left"/>
      <w:pPr>
        <w:ind w:left="4500" w:hanging="360"/>
      </w:pPr>
      <w:rPr>
        <w:rFonts w:hint="default"/>
        <w:b w:val="0"/>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5C"/>
    <w:rsid w:val="00626AC3"/>
    <w:rsid w:val="006472D5"/>
    <w:rsid w:val="008A5528"/>
    <w:rsid w:val="009F7333"/>
    <w:rsid w:val="00AD5CAB"/>
    <w:rsid w:val="00D64D8A"/>
    <w:rsid w:val="00DB1A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7CA01-F182-493A-98ED-8D69B3FD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1A5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26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1212</Words>
  <Characters>6909</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Zuber Miroslav</dc:creator>
  <cp:keywords/>
  <dc:description/>
  <cp:lastModifiedBy>Zuber Miroslav</cp:lastModifiedBy>
  <cp:revision>7</cp:revision>
  <dcterms:created xsi:type="dcterms:W3CDTF">2021-12-23T11:14:00Z</dcterms:created>
  <dcterms:modified xsi:type="dcterms:W3CDTF">2021-12-23T12:30:00Z</dcterms:modified>
</cp:coreProperties>
</file>